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
    <w:p/>
    <w:p>
      <w:pPr>
        <w:jc w:val="center"/>
        <w:outlineLvl w:val="0"/>
        <w:rPr>
          <w:rFonts w:ascii="黑体" w:hAnsi="黑体" w:eastAsia="黑体"/>
          <w:b/>
          <w:sz w:val="44"/>
        </w:rPr>
      </w:pPr>
      <w:bookmarkStart w:id="0" w:name="_Toc6964"/>
      <w:r>
        <w:rPr>
          <w:rFonts w:ascii="黑体" w:hAnsi="黑体" w:eastAsia="黑体"/>
          <w:b/>
          <w:sz w:val="44"/>
        </w:rPr>
        <w:t>厦门公交集团鹭驰交通有限公司</w:t>
      </w:r>
      <w:bookmarkEnd w:id="0"/>
    </w:p>
    <w:p/>
    <w:p>
      <w:pPr>
        <w:jc w:val="center"/>
        <w:outlineLvl w:val="0"/>
      </w:pPr>
      <w:bookmarkStart w:id="1" w:name="_Toc24008"/>
      <w:r>
        <w:rPr>
          <w:rFonts w:hint="eastAsia" w:ascii="黑体" w:hAnsi="黑体" w:eastAsia="黑体"/>
          <w:b/>
          <w:sz w:val="44"/>
          <w:lang w:val="en-US" w:eastAsia="zh-CN"/>
        </w:rPr>
        <w:t>5</w:t>
      </w:r>
      <w:r>
        <w:rPr>
          <w:rFonts w:ascii="黑体" w:hAnsi="黑体" w:eastAsia="黑体"/>
          <w:b/>
          <w:sz w:val="44"/>
        </w:rPr>
        <w:t>台纯电动营运客车采购项目</w:t>
      </w:r>
      <w:bookmarkEnd w:id="1"/>
    </w:p>
    <w:p>
      <w:pPr>
        <w:jc w:val="center"/>
        <w:outlineLvl w:val="0"/>
        <w:rPr>
          <w:rFonts w:hint="default" w:eastAsia="黑体"/>
          <w:lang w:val="en-US" w:eastAsia="zh-CN"/>
        </w:rPr>
      </w:pPr>
      <w:bookmarkStart w:id="2" w:name="_Toc17890"/>
      <w:r>
        <w:rPr>
          <w:rFonts w:ascii="黑体" w:hAnsi="黑体" w:eastAsia="黑体"/>
          <w:b/>
          <w:sz w:val="44"/>
        </w:rPr>
        <w:t>公开招标文件</w:t>
      </w:r>
      <w:bookmarkEnd w:id="2"/>
      <w:r>
        <w:rPr>
          <w:rFonts w:hint="eastAsia" w:ascii="黑体" w:hAnsi="黑体" w:eastAsia="黑体"/>
          <w:b/>
          <w:sz w:val="44"/>
          <w:lang w:eastAsia="zh-CN"/>
        </w:rPr>
        <w:t>（</w:t>
      </w:r>
      <w:r>
        <w:rPr>
          <w:rFonts w:hint="eastAsia" w:ascii="黑体" w:hAnsi="黑体" w:eastAsia="黑体"/>
          <w:b/>
          <w:sz w:val="44"/>
          <w:lang w:val="en-US" w:eastAsia="zh-CN"/>
        </w:rPr>
        <w:t>第二次）</w:t>
      </w:r>
    </w:p>
    <w:p>
      <w:pPr>
        <w:jc w:val="center"/>
        <w:outlineLvl w:val="0"/>
      </w:pPr>
    </w:p>
    <w:p/>
    <w:p/>
    <w:p/>
    <w:p>
      <w:pPr>
        <w:keepNext w:val="0"/>
        <w:keepLines w:val="0"/>
        <w:pageBreakBefore w:val="0"/>
        <w:widowControl w:val="0"/>
        <w:tabs>
          <w:tab w:val="left" w:pos="1080"/>
        </w:tabs>
        <w:kinsoku/>
        <w:wordWrap/>
        <w:overflowPunct/>
        <w:topLinePunct w:val="0"/>
        <w:autoSpaceDE/>
        <w:autoSpaceDN/>
        <w:bidi w:val="0"/>
        <w:adjustRightInd w:val="0"/>
        <w:snapToGrid w:val="0"/>
        <w:spacing w:line="360" w:lineRule="auto"/>
        <w:ind w:left="0" w:leftChars="0" w:right="0" w:firstLine="562" w:firstLineChars="200"/>
        <w:jc w:val="center"/>
        <w:textAlignment w:val="auto"/>
        <w:outlineLvl w:val="1"/>
        <w:rPr>
          <w:rFonts w:hint="default" w:ascii="宋体" w:hAnsi="宋体" w:eastAsia="宋体" w:cs="宋体"/>
          <w:sz w:val="24"/>
          <w:lang w:val="en-US"/>
        </w:rPr>
      </w:pPr>
      <w:r>
        <w:rPr>
          <w:rFonts w:ascii="黑体" w:hAnsi="黑体" w:eastAsia="黑体"/>
          <w:b/>
          <w:sz w:val="28"/>
        </w:rPr>
        <w:t>招标编号：</w:t>
      </w:r>
      <w:r>
        <w:rPr>
          <w:rFonts w:hint="eastAsia" w:ascii="黑体" w:hAnsi="黑体" w:eastAsia="黑体"/>
          <w:b/>
          <w:sz w:val="28"/>
          <w:lang w:val="en-US" w:eastAsia="zh-CN"/>
        </w:rPr>
        <w:t>XMGJLCJT2026-JF001</w:t>
      </w:r>
    </w:p>
    <w:p>
      <w:pPr>
        <w:jc w:val="center"/>
        <w:rPr>
          <w:highlight w:val="yellow"/>
        </w:rPr>
      </w:pPr>
    </w:p>
    <w:p/>
    <w:p>
      <w:pPr>
        <w:jc w:val="center"/>
        <w:outlineLvl w:val="1"/>
      </w:pPr>
      <w:r>
        <w:rPr>
          <w:rFonts w:ascii="黑体" w:hAnsi="黑体" w:eastAsia="黑体"/>
          <w:b/>
          <w:sz w:val="28"/>
        </w:rPr>
        <w:t>招标人：厦门公交集团鹭驰交通有限公司</w:t>
      </w:r>
    </w:p>
    <w:p/>
    <w:p>
      <w:pPr>
        <w:jc w:val="center"/>
        <w:outlineLvl w:val="1"/>
      </w:pPr>
      <w:r>
        <w:rPr>
          <w:rFonts w:ascii="黑体" w:hAnsi="黑体" w:eastAsia="黑体"/>
          <w:b/>
          <w:sz w:val="28"/>
        </w:rPr>
        <w:t>编制日期：二〇二六年</w:t>
      </w:r>
      <w:r>
        <w:rPr>
          <w:rFonts w:hint="eastAsia" w:ascii="黑体" w:hAnsi="黑体" w:eastAsia="黑体"/>
          <w:b/>
          <w:sz w:val="28"/>
          <w:lang w:val="en-US" w:eastAsia="zh-CN"/>
        </w:rPr>
        <w:t>九</w:t>
      </w:r>
      <w:r>
        <w:rPr>
          <w:rFonts w:ascii="黑体" w:hAnsi="黑体" w:eastAsia="黑体"/>
          <w:b/>
          <w:sz w:val="28"/>
        </w:rPr>
        <w:t>月</w:t>
      </w:r>
    </w:p>
    <w:p>
      <w:r>
        <w:br w:type="page"/>
      </w:r>
    </w:p>
    <w:p>
      <w:pPr>
        <w:jc w:val="center"/>
        <w:outlineLvl w:val="1"/>
      </w:pPr>
      <w:r>
        <w:rPr>
          <w:rFonts w:ascii="黑体" w:hAnsi="黑体" w:eastAsia="黑体"/>
          <w:b/>
          <w:sz w:val="32"/>
        </w:rPr>
        <w:t>投标注意事项</w:t>
      </w:r>
    </w:p>
    <w:p/>
    <w:p>
      <w:pPr>
        <w:keepNext w:val="0"/>
        <w:keepLines w:val="0"/>
        <w:pageBreakBefore w:val="0"/>
        <w:widowControl/>
        <w:kinsoku/>
        <w:wordWrap/>
        <w:overflowPunct/>
        <w:topLinePunct w:val="0"/>
        <w:autoSpaceDE/>
        <w:autoSpaceDN/>
        <w:bidi w:val="0"/>
        <w:adjustRightInd w:val="0"/>
        <w:snapToGrid w:val="0"/>
        <w:spacing w:after="0" w:line="440" w:lineRule="exact"/>
        <w:textAlignment w:val="auto"/>
      </w:pPr>
      <w:r>
        <w:rPr>
          <w:rFonts w:ascii="宋体" w:hAnsi="宋体" w:eastAsia="宋体"/>
          <w:b w:val="0"/>
          <w:sz w:val="24"/>
        </w:rPr>
        <w:t>各投标人：</w:t>
      </w:r>
    </w:p>
    <w:p>
      <w:pPr>
        <w:keepNext w:val="0"/>
        <w:keepLines w:val="0"/>
        <w:pageBreakBefore w:val="0"/>
        <w:widowControl/>
        <w:kinsoku/>
        <w:wordWrap/>
        <w:overflowPunct/>
        <w:topLinePunct w:val="0"/>
        <w:autoSpaceDE/>
        <w:autoSpaceDN/>
        <w:bidi w:val="0"/>
        <w:adjustRightInd w:val="0"/>
        <w:snapToGrid w:val="0"/>
        <w:spacing w:after="0" w:line="440" w:lineRule="exact"/>
        <w:ind w:firstLine="420"/>
        <w:textAlignment w:val="auto"/>
      </w:pPr>
      <w:r>
        <w:rPr>
          <w:rFonts w:ascii="宋体" w:hAnsi="宋体" w:eastAsia="宋体"/>
          <w:b w:val="0"/>
          <w:sz w:val="24"/>
        </w:rPr>
        <w:t>为保证本次采购项目的顺利进行，减少招投标过程中由于标书制作不合格等原因导致贵单位所投标书为无效标书或废标现象的发生，请贵单位仔细阅读招标文件的每一条款，特别注意以下事项：</w:t>
      </w:r>
    </w:p>
    <w:p>
      <w:pPr>
        <w:keepNext w:val="0"/>
        <w:keepLines w:val="0"/>
        <w:pageBreakBefore w:val="0"/>
        <w:widowControl/>
        <w:kinsoku/>
        <w:wordWrap/>
        <w:overflowPunct/>
        <w:topLinePunct w:val="0"/>
        <w:autoSpaceDE/>
        <w:autoSpaceDN/>
        <w:bidi w:val="0"/>
        <w:adjustRightInd w:val="0"/>
        <w:snapToGrid w:val="0"/>
        <w:spacing w:after="0" w:line="440" w:lineRule="exact"/>
        <w:ind w:firstLine="420"/>
        <w:textAlignment w:val="auto"/>
      </w:pPr>
      <w:r>
        <w:rPr>
          <w:rFonts w:ascii="宋体" w:hAnsi="宋体" w:eastAsia="宋体"/>
          <w:b w:val="0"/>
          <w:sz w:val="24"/>
        </w:rPr>
        <w:t>1、请严格按照招标文件规定的资格证明文件要求提供每一项证件（特别注明原件或复印件的要求），并严格审查证件的有效期、经营期限、证件的签署的有效性等，漏缺一项证件或一项证件不合格将造成资格审查通不过，所投投标文件为无效投标文件；招标文件要求提供的资格证明文件及其它业绩证明材料务必在开标截止时间前递交给招标人，投标截止时间以后，招标人将不再接受任何资格证明文件和其它证明材料。</w:t>
      </w:r>
    </w:p>
    <w:p>
      <w:pPr>
        <w:keepNext w:val="0"/>
        <w:keepLines w:val="0"/>
        <w:pageBreakBefore w:val="0"/>
        <w:widowControl/>
        <w:kinsoku/>
        <w:wordWrap/>
        <w:overflowPunct/>
        <w:topLinePunct w:val="0"/>
        <w:autoSpaceDE/>
        <w:autoSpaceDN/>
        <w:bidi w:val="0"/>
        <w:adjustRightInd w:val="0"/>
        <w:snapToGrid w:val="0"/>
        <w:spacing w:after="0" w:line="440" w:lineRule="exact"/>
        <w:ind w:firstLine="420"/>
        <w:textAlignment w:val="auto"/>
      </w:pPr>
      <w:r>
        <w:rPr>
          <w:rFonts w:ascii="宋体" w:hAnsi="宋体" w:eastAsia="宋体"/>
          <w:b w:val="0"/>
          <w:sz w:val="24"/>
        </w:rPr>
        <w:t>2、请认真研究招标文件规定的重大偏差所包括的内容，投标文件有以上所列内容之一、经评委认定属实的，将作无效投标或废标处理。</w:t>
      </w:r>
    </w:p>
    <w:p>
      <w:pPr>
        <w:keepNext w:val="0"/>
        <w:keepLines w:val="0"/>
        <w:pageBreakBefore w:val="0"/>
        <w:widowControl/>
        <w:kinsoku/>
        <w:wordWrap/>
        <w:overflowPunct/>
        <w:topLinePunct w:val="0"/>
        <w:autoSpaceDE/>
        <w:autoSpaceDN/>
        <w:bidi w:val="0"/>
        <w:adjustRightInd w:val="0"/>
        <w:snapToGrid w:val="0"/>
        <w:spacing w:after="0" w:line="440" w:lineRule="exact"/>
        <w:ind w:firstLine="420"/>
        <w:textAlignment w:val="auto"/>
      </w:pPr>
      <w:r>
        <w:rPr>
          <w:rFonts w:ascii="宋体" w:hAnsi="宋体" w:eastAsia="宋体"/>
          <w:b w:val="0"/>
          <w:sz w:val="24"/>
        </w:rPr>
        <w:t>3、为防止意外情况的发生，请在招标文件规定的投标截止时间前半小时到达开标现场，投标文件截止时间后递交的投标文件恕不受理。</w:t>
      </w:r>
    </w:p>
    <w:p>
      <w:pPr>
        <w:keepNext w:val="0"/>
        <w:keepLines w:val="0"/>
        <w:pageBreakBefore w:val="0"/>
        <w:widowControl/>
        <w:kinsoku/>
        <w:wordWrap/>
        <w:overflowPunct/>
        <w:topLinePunct w:val="0"/>
        <w:autoSpaceDE/>
        <w:autoSpaceDN/>
        <w:bidi w:val="0"/>
        <w:adjustRightInd w:val="0"/>
        <w:snapToGrid w:val="0"/>
        <w:spacing w:after="0" w:line="440" w:lineRule="exact"/>
        <w:ind w:firstLine="420"/>
        <w:textAlignment w:val="auto"/>
      </w:pPr>
      <w:r>
        <w:rPr>
          <w:rFonts w:ascii="宋体" w:hAnsi="宋体" w:eastAsia="宋体"/>
          <w:b w:val="0"/>
          <w:sz w:val="24"/>
        </w:rPr>
        <w:t>4、请认真阅读招标文件规定的时间要求、付款方式等商务条款，制作投标文件时应作出响应或正偏离以上商务条款的承诺，不响应或负偏离的将导致废标。</w:t>
      </w:r>
    </w:p>
    <w:p>
      <w:pPr>
        <w:keepNext w:val="0"/>
        <w:keepLines w:val="0"/>
        <w:pageBreakBefore w:val="0"/>
        <w:widowControl/>
        <w:kinsoku/>
        <w:wordWrap/>
        <w:overflowPunct/>
        <w:topLinePunct w:val="0"/>
        <w:autoSpaceDE/>
        <w:autoSpaceDN/>
        <w:bidi w:val="0"/>
        <w:adjustRightInd w:val="0"/>
        <w:snapToGrid w:val="0"/>
        <w:spacing w:after="0" w:line="440" w:lineRule="exact"/>
        <w:ind w:firstLine="420"/>
        <w:textAlignment w:val="auto"/>
      </w:pPr>
      <w:r>
        <w:rPr>
          <w:rFonts w:ascii="宋体" w:hAnsi="宋体" w:eastAsia="宋体"/>
          <w:b w:val="0"/>
          <w:sz w:val="24"/>
        </w:rPr>
        <w:t>5、对提供虚假资料谋取中标的投标人，将根据有关法律法规处以取消本次投标资格，并列入供应商黑名单，3年内禁止参与本单位所有采购项目。请各投标人严格自律，诚信参与投标。</w:t>
      </w:r>
    </w:p>
    <w:p>
      <w:pPr>
        <w:keepNext w:val="0"/>
        <w:keepLines w:val="0"/>
        <w:pageBreakBefore w:val="0"/>
        <w:widowControl/>
        <w:kinsoku/>
        <w:wordWrap/>
        <w:overflowPunct/>
        <w:topLinePunct w:val="0"/>
        <w:autoSpaceDE/>
        <w:autoSpaceDN/>
        <w:bidi w:val="0"/>
        <w:adjustRightInd w:val="0"/>
        <w:snapToGrid w:val="0"/>
        <w:spacing w:after="0" w:line="440" w:lineRule="exact"/>
        <w:ind w:firstLine="480"/>
        <w:textAlignment w:val="auto"/>
        <w:rPr>
          <w:highlight w:val="none"/>
        </w:rPr>
      </w:pPr>
      <w:r>
        <w:rPr>
          <w:rFonts w:ascii="宋体" w:hAnsi="宋体" w:eastAsia="宋体"/>
          <w:b w:val="0"/>
          <w:sz w:val="24"/>
        </w:rPr>
        <w:t>6、对招标文件有疑义或其它问题请及时与厦门公交集团鹭驰交通有限公司</w:t>
      </w:r>
      <w:r>
        <w:rPr>
          <w:rFonts w:hint="eastAsia"/>
          <w:b w:val="0"/>
          <w:sz w:val="24"/>
          <w:lang w:val="en-US" w:eastAsia="zh-CN"/>
        </w:rPr>
        <w:t>经营发展部</w:t>
      </w:r>
      <w:r>
        <w:rPr>
          <w:rFonts w:ascii="宋体" w:hAnsi="宋体" w:eastAsia="宋体"/>
          <w:b w:val="0"/>
          <w:sz w:val="24"/>
        </w:rPr>
        <w:t>联系。</w:t>
      </w:r>
      <w:r>
        <w:rPr>
          <w:rFonts w:hint="eastAsia"/>
          <w:highlight w:val="none"/>
          <w:lang w:val="en-US" w:eastAsia="zh-CN"/>
        </w:rPr>
        <w:t>7、</w:t>
      </w:r>
      <w:r>
        <w:rPr>
          <w:highlight w:val="none"/>
        </w:rPr>
        <w:t>因首轮投标供应商数量不足三家，本项目已按规定流标。为保障公司安全生产工作的连续性，现对原招标文件进行修订并启动第二轮招标程序。若第二轮投标供应商仍未达三家，将根据实际投标情况采取以下方式推进：</w:t>
      </w:r>
    </w:p>
    <w:p>
      <w:pPr>
        <w:keepNext w:val="0"/>
        <w:keepLines w:val="0"/>
        <w:pageBreakBefore w:val="0"/>
        <w:widowControl/>
        <w:kinsoku/>
        <w:wordWrap/>
        <w:overflowPunct/>
        <w:topLinePunct w:val="0"/>
        <w:autoSpaceDE/>
        <w:autoSpaceDN/>
        <w:bidi w:val="0"/>
        <w:adjustRightInd w:val="0"/>
        <w:snapToGrid w:val="0"/>
        <w:spacing w:after="0" w:line="440" w:lineRule="exact"/>
        <w:ind w:firstLine="480"/>
        <w:textAlignment w:val="auto"/>
        <w:rPr>
          <w:b/>
          <w:bCs/>
          <w:highlight w:val="none"/>
        </w:rPr>
      </w:pPr>
      <w:r>
        <w:rPr>
          <w:b/>
          <w:bCs/>
          <w:highlight w:val="none"/>
        </w:rPr>
        <w:t>若仅有两家供应商参与，将直接转为竞争性谈判方式；</w:t>
      </w:r>
    </w:p>
    <w:p>
      <w:pPr>
        <w:keepNext w:val="0"/>
        <w:keepLines w:val="0"/>
        <w:pageBreakBefore w:val="0"/>
        <w:widowControl/>
        <w:kinsoku/>
        <w:wordWrap/>
        <w:overflowPunct/>
        <w:topLinePunct w:val="0"/>
        <w:autoSpaceDE/>
        <w:autoSpaceDN/>
        <w:bidi w:val="0"/>
        <w:adjustRightInd w:val="0"/>
        <w:snapToGrid w:val="0"/>
        <w:spacing w:after="0" w:line="440" w:lineRule="exact"/>
        <w:ind w:firstLine="480"/>
        <w:textAlignment w:val="auto"/>
        <w:rPr>
          <w:b/>
          <w:bCs/>
          <w:highlight w:val="none"/>
        </w:rPr>
      </w:pPr>
      <w:r>
        <w:rPr>
          <w:b/>
          <w:bCs/>
          <w:highlight w:val="none"/>
        </w:rPr>
        <w:t>若仅有一家供应商参与，将直接采用商务谈判方式。</w:t>
      </w:r>
    </w:p>
    <w:p>
      <w:pPr>
        <w:keepNext w:val="0"/>
        <w:keepLines w:val="0"/>
        <w:pageBreakBefore w:val="0"/>
        <w:widowControl/>
        <w:kinsoku/>
        <w:wordWrap/>
        <w:overflowPunct/>
        <w:topLinePunct w:val="0"/>
        <w:autoSpaceDE/>
        <w:autoSpaceDN/>
        <w:bidi w:val="0"/>
        <w:adjustRightInd w:val="0"/>
        <w:snapToGrid w:val="0"/>
        <w:spacing w:after="0" w:line="440" w:lineRule="exact"/>
        <w:ind w:firstLine="420"/>
        <w:textAlignment w:val="auto"/>
        <w:rPr>
          <w:highlight w:val="none"/>
        </w:rPr>
      </w:pPr>
      <w:r>
        <w:rPr>
          <w:rFonts w:ascii="宋体" w:hAnsi="宋体" w:eastAsia="宋体"/>
          <w:b w:val="0"/>
          <w:sz w:val="24"/>
          <w:highlight w:val="none"/>
        </w:rPr>
        <w:t>联系人：</w:t>
      </w:r>
      <w:r>
        <w:rPr>
          <w:rFonts w:hint="eastAsia"/>
          <w:b w:val="0"/>
          <w:sz w:val="24"/>
          <w:highlight w:val="none"/>
          <w:lang w:val="en-US" w:eastAsia="zh-CN"/>
        </w:rPr>
        <w:t>龚先生</w:t>
      </w:r>
      <w:r>
        <w:rPr>
          <w:rFonts w:ascii="宋体" w:hAnsi="宋体" w:eastAsia="宋体"/>
          <w:b w:val="0"/>
          <w:sz w:val="24"/>
          <w:highlight w:val="none"/>
        </w:rPr>
        <w:t xml:space="preserve">  联系电话：</w:t>
      </w:r>
      <w:r>
        <w:rPr>
          <w:rFonts w:hint="eastAsia"/>
          <w:b w:val="0"/>
          <w:sz w:val="24"/>
          <w:highlight w:val="none"/>
          <w:lang w:val="en-US" w:eastAsia="zh-CN"/>
        </w:rPr>
        <w:t>13806089134</w:t>
      </w:r>
    </w:p>
    <w:p>
      <w:pPr>
        <w:keepNext w:val="0"/>
        <w:keepLines w:val="0"/>
        <w:pageBreakBefore w:val="0"/>
        <w:widowControl/>
        <w:kinsoku/>
        <w:wordWrap/>
        <w:overflowPunct/>
        <w:topLinePunct w:val="0"/>
        <w:autoSpaceDE/>
        <w:autoSpaceDN/>
        <w:bidi w:val="0"/>
        <w:adjustRightInd/>
        <w:snapToGrid/>
        <w:spacing w:after="0" w:line="360" w:lineRule="auto"/>
        <w:textAlignment w:val="auto"/>
        <w:rPr>
          <w:highlight w:val="none"/>
        </w:rPr>
      </w:pPr>
      <w:r>
        <w:rPr>
          <w:rFonts w:ascii="宋体" w:hAnsi="宋体" w:eastAsia="宋体"/>
          <w:b w:val="0"/>
          <w:sz w:val="24"/>
          <w:highlight w:val="none"/>
        </w:rPr>
        <w:t>谢谢合作！</w:t>
      </w:r>
    </w:p>
    <w:p>
      <w:pPr>
        <w:keepNext w:val="0"/>
        <w:keepLines w:val="0"/>
        <w:pageBreakBefore w:val="0"/>
        <w:widowControl/>
        <w:kinsoku/>
        <w:wordWrap/>
        <w:overflowPunct/>
        <w:topLinePunct w:val="0"/>
        <w:autoSpaceDE/>
        <w:autoSpaceDN/>
        <w:bidi w:val="0"/>
        <w:adjustRightInd/>
        <w:snapToGrid/>
        <w:spacing w:after="0" w:line="360" w:lineRule="auto"/>
        <w:textAlignment w:val="auto"/>
        <w:rPr>
          <w:highlight w:val="yellow"/>
        </w:rPr>
      </w:pPr>
      <w:r>
        <w:rPr>
          <w:highlight w:val="yellow"/>
        </w:rPr>
        <w:br w:type="page"/>
      </w:r>
    </w:p>
    <w:p>
      <w:pPr>
        <w:jc w:val="center"/>
        <w:outlineLvl w:val="0"/>
      </w:pPr>
      <w:bookmarkStart w:id="3" w:name="_Toc11973"/>
      <w:r>
        <w:rPr>
          <w:rFonts w:ascii="黑体" w:hAnsi="黑体" w:eastAsia="黑体"/>
          <w:b/>
          <w:sz w:val="44"/>
        </w:rPr>
        <w:t>目  录</w:t>
      </w:r>
      <w:bookmarkEnd w:id="3"/>
    </w:p>
    <w:sdt>
      <w:sdtPr>
        <w:rPr>
          <w:rFonts w:ascii="宋体" w:hAnsi="宋体" w:eastAsia="宋体" w:cstheme="minorBidi"/>
          <w:sz w:val="21"/>
          <w:szCs w:val="22"/>
          <w:lang w:val="en-US" w:eastAsia="en-US" w:bidi="ar-SA"/>
        </w:rPr>
        <w:id w:val="147473914"/>
        <w15:color w:val="DBDBDB"/>
        <w:docPartObj>
          <w:docPartGallery w:val="Table of Contents"/>
          <w:docPartUnique/>
        </w:docPartObj>
      </w:sdtPr>
      <w:sdtEndPr>
        <w:rPr>
          <w:rFonts w:ascii="宋体" w:hAnsi="宋体" w:eastAsia="宋体" w:cstheme="minorBidi"/>
          <w:b/>
          <w:bCs/>
          <w:sz w:val="21"/>
          <w:szCs w:val="21"/>
          <w:lang w:val="en-US" w:eastAsia="en-US" w:bidi="ar-SA"/>
        </w:rPr>
      </w:sdtEndPr>
      <w:sdtContent>
        <w:p>
          <w:pPr>
            <w:keepNext w:val="0"/>
            <w:keepLines w:val="0"/>
            <w:pageBreakBefore w:val="0"/>
            <w:widowControl/>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rPr>
              <w:sz w:val="21"/>
              <w:szCs w:val="21"/>
            </w:rPr>
          </w:pPr>
          <w:r>
            <w:rPr>
              <w:sz w:val="21"/>
              <w:szCs w:val="21"/>
            </w:rPr>
            <w:fldChar w:fldCharType="begin"/>
          </w:r>
          <w:r>
            <w:rPr>
              <w:sz w:val="21"/>
              <w:szCs w:val="21"/>
            </w:rPr>
            <w:instrText xml:space="preserve">TOC \o "1-1" \h \u </w:instrText>
          </w:r>
          <w:r>
            <w:rPr>
              <w:sz w:val="21"/>
              <w:szCs w:val="21"/>
            </w:rPr>
            <w:fldChar w:fldCharType="separate"/>
          </w:r>
        </w:p>
        <w:p>
          <w:pPr>
            <w:pStyle w:val="29"/>
            <w:keepNext w:val="0"/>
            <w:keepLines w:val="0"/>
            <w:pageBreakBefore w:val="0"/>
            <w:widowControl/>
            <w:tabs>
              <w:tab w:val="right" w:leader="dot" w:pos="9406"/>
            </w:tabs>
            <w:kinsoku/>
            <w:wordWrap/>
            <w:overflowPunct/>
            <w:topLinePunct w:val="0"/>
            <w:autoSpaceDE/>
            <w:autoSpaceDN/>
            <w:bidi w:val="0"/>
            <w:adjustRightInd/>
            <w:snapToGrid/>
            <w:spacing w:line="300" w:lineRule="exact"/>
            <w:textAlignment w:val="auto"/>
            <w:rPr>
              <w:sz w:val="21"/>
              <w:szCs w:val="21"/>
            </w:rPr>
          </w:pPr>
          <w:r>
            <w:rPr>
              <w:sz w:val="21"/>
              <w:szCs w:val="21"/>
            </w:rPr>
            <w:fldChar w:fldCharType="begin"/>
          </w:r>
          <w:r>
            <w:rPr>
              <w:sz w:val="21"/>
              <w:szCs w:val="21"/>
            </w:rPr>
            <w:instrText xml:space="preserve"> HYPERLINK \l _Toc15990 </w:instrText>
          </w:r>
          <w:r>
            <w:rPr>
              <w:sz w:val="21"/>
              <w:szCs w:val="21"/>
            </w:rPr>
            <w:fldChar w:fldCharType="separate"/>
          </w:r>
          <w:r>
            <w:rPr>
              <w:rFonts w:ascii="黑体" w:hAnsi="黑体" w:eastAsia="黑体"/>
              <w:sz w:val="21"/>
              <w:szCs w:val="21"/>
            </w:rPr>
            <w:t>第一章  公开招标公告</w:t>
          </w:r>
          <w:r>
            <w:rPr>
              <w:sz w:val="21"/>
              <w:szCs w:val="21"/>
            </w:rPr>
            <w:tab/>
          </w:r>
          <w:r>
            <w:rPr>
              <w:sz w:val="21"/>
              <w:szCs w:val="21"/>
            </w:rPr>
            <w:fldChar w:fldCharType="begin"/>
          </w:r>
          <w:r>
            <w:rPr>
              <w:sz w:val="21"/>
              <w:szCs w:val="21"/>
            </w:rPr>
            <w:instrText xml:space="preserve"> PAGEREF _Toc15990 \h </w:instrText>
          </w:r>
          <w:r>
            <w:rPr>
              <w:sz w:val="21"/>
              <w:szCs w:val="21"/>
            </w:rPr>
            <w:fldChar w:fldCharType="separate"/>
          </w:r>
          <w:r>
            <w:rPr>
              <w:sz w:val="21"/>
              <w:szCs w:val="21"/>
            </w:rPr>
            <w:t>4</w:t>
          </w:r>
          <w:r>
            <w:rPr>
              <w:sz w:val="21"/>
              <w:szCs w:val="21"/>
            </w:rPr>
            <w:fldChar w:fldCharType="end"/>
          </w:r>
          <w:r>
            <w:rPr>
              <w:sz w:val="21"/>
              <w:szCs w:val="21"/>
            </w:rPr>
            <w:fldChar w:fldCharType="end"/>
          </w:r>
        </w:p>
        <w:p>
          <w:pPr>
            <w:pStyle w:val="29"/>
            <w:keepNext w:val="0"/>
            <w:keepLines w:val="0"/>
            <w:pageBreakBefore w:val="0"/>
            <w:widowControl/>
            <w:tabs>
              <w:tab w:val="right" w:leader="dot" w:pos="9406"/>
            </w:tabs>
            <w:kinsoku/>
            <w:wordWrap/>
            <w:overflowPunct/>
            <w:topLinePunct w:val="0"/>
            <w:autoSpaceDE/>
            <w:autoSpaceDN/>
            <w:bidi w:val="0"/>
            <w:adjustRightInd/>
            <w:snapToGrid/>
            <w:spacing w:line="300" w:lineRule="exact"/>
            <w:textAlignment w:val="auto"/>
            <w:rPr>
              <w:sz w:val="21"/>
              <w:szCs w:val="21"/>
            </w:rPr>
          </w:pPr>
          <w:r>
            <w:rPr>
              <w:sz w:val="21"/>
              <w:szCs w:val="21"/>
            </w:rPr>
            <w:fldChar w:fldCharType="begin"/>
          </w:r>
          <w:r>
            <w:rPr>
              <w:sz w:val="21"/>
              <w:szCs w:val="21"/>
            </w:rPr>
            <w:instrText xml:space="preserve"> HYPERLINK \l _Toc26251 </w:instrText>
          </w:r>
          <w:r>
            <w:rPr>
              <w:sz w:val="21"/>
              <w:szCs w:val="21"/>
            </w:rPr>
            <w:fldChar w:fldCharType="separate"/>
          </w:r>
          <w:r>
            <w:rPr>
              <w:rFonts w:ascii="黑体" w:hAnsi="黑体" w:eastAsia="黑体"/>
              <w:sz w:val="21"/>
              <w:szCs w:val="21"/>
            </w:rPr>
            <w:t>第二章  投标人须知</w:t>
          </w:r>
          <w:r>
            <w:rPr>
              <w:sz w:val="21"/>
              <w:szCs w:val="21"/>
            </w:rPr>
            <w:tab/>
          </w:r>
          <w:r>
            <w:rPr>
              <w:rFonts w:hint="eastAsia"/>
              <w:sz w:val="21"/>
              <w:szCs w:val="21"/>
              <w:lang w:val="en-US" w:eastAsia="zh-CN"/>
            </w:rPr>
            <w:t>7</w:t>
          </w:r>
          <w:r>
            <w:rPr>
              <w:sz w:val="21"/>
              <w:szCs w:val="21"/>
            </w:rPr>
            <w:fldChar w:fldCharType="end"/>
          </w:r>
        </w:p>
        <w:p>
          <w:pPr>
            <w:pStyle w:val="29"/>
            <w:keepNext w:val="0"/>
            <w:keepLines w:val="0"/>
            <w:pageBreakBefore w:val="0"/>
            <w:widowControl/>
            <w:tabs>
              <w:tab w:val="right" w:leader="dot" w:pos="9406"/>
            </w:tabs>
            <w:kinsoku/>
            <w:wordWrap/>
            <w:overflowPunct/>
            <w:topLinePunct w:val="0"/>
            <w:autoSpaceDE/>
            <w:autoSpaceDN/>
            <w:bidi w:val="0"/>
            <w:adjustRightInd/>
            <w:snapToGrid/>
            <w:spacing w:line="300" w:lineRule="exact"/>
            <w:textAlignment w:val="auto"/>
            <w:rPr>
              <w:sz w:val="21"/>
              <w:szCs w:val="21"/>
            </w:rPr>
          </w:pPr>
          <w:r>
            <w:rPr>
              <w:sz w:val="21"/>
              <w:szCs w:val="21"/>
            </w:rPr>
            <w:fldChar w:fldCharType="begin"/>
          </w:r>
          <w:r>
            <w:rPr>
              <w:sz w:val="21"/>
              <w:szCs w:val="21"/>
            </w:rPr>
            <w:instrText xml:space="preserve"> HYPERLINK \l _Toc1601 </w:instrText>
          </w:r>
          <w:r>
            <w:rPr>
              <w:sz w:val="21"/>
              <w:szCs w:val="21"/>
            </w:rPr>
            <w:fldChar w:fldCharType="separate"/>
          </w:r>
          <w:r>
            <w:rPr>
              <w:rFonts w:ascii="黑体" w:hAnsi="黑体" w:eastAsia="黑体"/>
              <w:sz w:val="21"/>
              <w:szCs w:val="21"/>
            </w:rPr>
            <w:t>第三章  评标办法（综合评分法，总分100分）</w:t>
          </w:r>
          <w:r>
            <w:rPr>
              <w:sz w:val="21"/>
              <w:szCs w:val="21"/>
            </w:rPr>
            <w:tab/>
          </w:r>
          <w:r>
            <w:rPr>
              <w:sz w:val="21"/>
              <w:szCs w:val="21"/>
            </w:rPr>
            <w:fldChar w:fldCharType="begin"/>
          </w:r>
          <w:r>
            <w:rPr>
              <w:sz w:val="21"/>
              <w:szCs w:val="21"/>
            </w:rPr>
            <w:instrText xml:space="preserve"> PAGEREF _Toc1601 \h </w:instrText>
          </w:r>
          <w:r>
            <w:rPr>
              <w:sz w:val="21"/>
              <w:szCs w:val="21"/>
            </w:rPr>
            <w:fldChar w:fldCharType="separate"/>
          </w:r>
          <w:r>
            <w:rPr>
              <w:sz w:val="21"/>
              <w:szCs w:val="21"/>
            </w:rPr>
            <w:t>12</w:t>
          </w:r>
          <w:r>
            <w:rPr>
              <w:sz w:val="21"/>
              <w:szCs w:val="21"/>
            </w:rPr>
            <w:fldChar w:fldCharType="end"/>
          </w:r>
          <w:r>
            <w:rPr>
              <w:sz w:val="21"/>
              <w:szCs w:val="21"/>
            </w:rPr>
            <w:fldChar w:fldCharType="end"/>
          </w:r>
        </w:p>
        <w:p>
          <w:pPr>
            <w:pStyle w:val="29"/>
            <w:keepNext w:val="0"/>
            <w:keepLines w:val="0"/>
            <w:pageBreakBefore w:val="0"/>
            <w:widowControl/>
            <w:tabs>
              <w:tab w:val="right" w:leader="dot" w:pos="9406"/>
            </w:tabs>
            <w:kinsoku/>
            <w:wordWrap/>
            <w:overflowPunct/>
            <w:topLinePunct w:val="0"/>
            <w:autoSpaceDE/>
            <w:autoSpaceDN/>
            <w:bidi w:val="0"/>
            <w:adjustRightInd/>
            <w:snapToGrid/>
            <w:spacing w:line="300" w:lineRule="exact"/>
            <w:textAlignment w:val="auto"/>
            <w:rPr>
              <w:sz w:val="21"/>
              <w:szCs w:val="21"/>
            </w:rPr>
          </w:pPr>
          <w:r>
            <w:rPr>
              <w:sz w:val="21"/>
              <w:szCs w:val="21"/>
            </w:rPr>
            <w:fldChar w:fldCharType="begin"/>
          </w:r>
          <w:r>
            <w:rPr>
              <w:sz w:val="21"/>
              <w:szCs w:val="21"/>
            </w:rPr>
            <w:instrText xml:space="preserve"> HYPERLINK \l _Toc18156 </w:instrText>
          </w:r>
          <w:r>
            <w:rPr>
              <w:sz w:val="21"/>
              <w:szCs w:val="21"/>
            </w:rPr>
            <w:fldChar w:fldCharType="separate"/>
          </w:r>
          <w:r>
            <w:rPr>
              <w:rFonts w:ascii="黑体" w:hAnsi="黑体" w:eastAsia="黑体"/>
              <w:sz w:val="21"/>
              <w:szCs w:val="21"/>
            </w:rPr>
            <w:t>第四章  采购需求（分标段完整技术参数）</w:t>
          </w:r>
          <w:r>
            <w:rPr>
              <w:sz w:val="21"/>
              <w:szCs w:val="21"/>
            </w:rPr>
            <w:tab/>
          </w:r>
          <w:r>
            <w:rPr>
              <w:sz w:val="21"/>
              <w:szCs w:val="21"/>
            </w:rPr>
            <w:fldChar w:fldCharType="begin"/>
          </w:r>
          <w:r>
            <w:rPr>
              <w:sz w:val="21"/>
              <w:szCs w:val="21"/>
            </w:rPr>
            <w:instrText xml:space="preserve"> PAGEREF _Toc18156 \h </w:instrText>
          </w:r>
          <w:r>
            <w:rPr>
              <w:sz w:val="21"/>
              <w:szCs w:val="21"/>
            </w:rPr>
            <w:fldChar w:fldCharType="separate"/>
          </w:r>
          <w:r>
            <w:rPr>
              <w:sz w:val="21"/>
              <w:szCs w:val="21"/>
            </w:rPr>
            <w:t>14</w:t>
          </w:r>
          <w:r>
            <w:rPr>
              <w:sz w:val="21"/>
              <w:szCs w:val="21"/>
            </w:rPr>
            <w:fldChar w:fldCharType="end"/>
          </w:r>
          <w:r>
            <w:rPr>
              <w:sz w:val="21"/>
              <w:szCs w:val="21"/>
            </w:rPr>
            <w:fldChar w:fldCharType="end"/>
          </w:r>
        </w:p>
        <w:p>
          <w:pPr>
            <w:pStyle w:val="29"/>
            <w:keepNext w:val="0"/>
            <w:keepLines w:val="0"/>
            <w:pageBreakBefore w:val="0"/>
            <w:widowControl/>
            <w:tabs>
              <w:tab w:val="right" w:leader="dot" w:pos="9406"/>
            </w:tabs>
            <w:kinsoku/>
            <w:wordWrap/>
            <w:overflowPunct/>
            <w:topLinePunct w:val="0"/>
            <w:autoSpaceDE/>
            <w:autoSpaceDN/>
            <w:bidi w:val="0"/>
            <w:adjustRightInd/>
            <w:snapToGrid/>
            <w:spacing w:line="300" w:lineRule="exact"/>
            <w:textAlignment w:val="auto"/>
            <w:rPr>
              <w:sz w:val="21"/>
              <w:szCs w:val="21"/>
            </w:rPr>
          </w:pPr>
          <w:r>
            <w:rPr>
              <w:sz w:val="21"/>
              <w:szCs w:val="21"/>
            </w:rPr>
            <w:fldChar w:fldCharType="begin"/>
          </w:r>
          <w:r>
            <w:rPr>
              <w:sz w:val="21"/>
              <w:szCs w:val="21"/>
            </w:rPr>
            <w:instrText xml:space="preserve"> HYPERLINK \l _Toc11891 </w:instrText>
          </w:r>
          <w:r>
            <w:rPr>
              <w:sz w:val="21"/>
              <w:szCs w:val="21"/>
            </w:rPr>
            <w:fldChar w:fldCharType="separate"/>
          </w:r>
          <w:r>
            <w:rPr>
              <w:rFonts w:ascii="黑体" w:hAnsi="黑体" w:eastAsia="黑体"/>
              <w:sz w:val="21"/>
              <w:szCs w:val="21"/>
            </w:rPr>
            <w:t>第五章  拟签订采购合同</w:t>
          </w:r>
          <w:r>
            <w:rPr>
              <w:sz w:val="21"/>
              <w:szCs w:val="21"/>
            </w:rPr>
            <w:tab/>
          </w:r>
          <w:r>
            <w:rPr>
              <w:sz w:val="21"/>
              <w:szCs w:val="21"/>
            </w:rPr>
            <w:fldChar w:fldCharType="begin"/>
          </w:r>
          <w:r>
            <w:rPr>
              <w:sz w:val="21"/>
              <w:szCs w:val="21"/>
            </w:rPr>
            <w:instrText xml:space="preserve"> PAGEREF _Toc11891 \h </w:instrText>
          </w:r>
          <w:r>
            <w:rPr>
              <w:sz w:val="21"/>
              <w:szCs w:val="21"/>
            </w:rPr>
            <w:fldChar w:fldCharType="separate"/>
          </w:r>
          <w:r>
            <w:rPr>
              <w:sz w:val="21"/>
              <w:szCs w:val="21"/>
            </w:rPr>
            <w:t>22</w:t>
          </w:r>
          <w:r>
            <w:rPr>
              <w:sz w:val="21"/>
              <w:szCs w:val="21"/>
            </w:rPr>
            <w:fldChar w:fldCharType="end"/>
          </w:r>
          <w:r>
            <w:rPr>
              <w:sz w:val="21"/>
              <w:szCs w:val="21"/>
            </w:rPr>
            <w:fldChar w:fldCharType="end"/>
          </w:r>
        </w:p>
        <w:p>
          <w:pPr>
            <w:pStyle w:val="29"/>
            <w:keepNext w:val="0"/>
            <w:keepLines w:val="0"/>
            <w:pageBreakBefore w:val="0"/>
            <w:widowControl/>
            <w:tabs>
              <w:tab w:val="right" w:leader="dot" w:pos="9406"/>
            </w:tabs>
            <w:kinsoku/>
            <w:wordWrap/>
            <w:overflowPunct/>
            <w:topLinePunct w:val="0"/>
            <w:autoSpaceDE/>
            <w:autoSpaceDN/>
            <w:bidi w:val="0"/>
            <w:adjustRightInd/>
            <w:snapToGrid/>
            <w:spacing w:line="300" w:lineRule="exact"/>
            <w:textAlignment w:val="auto"/>
            <w:rPr>
              <w:sz w:val="21"/>
              <w:szCs w:val="21"/>
            </w:rPr>
          </w:pPr>
          <w:r>
            <w:rPr>
              <w:sz w:val="21"/>
              <w:szCs w:val="21"/>
            </w:rPr>
            <w:fldChar w:fldCharType="begin"/>
          </w:r>
          <w:r>
            <w:rPr>
              <w:sz w:val="21"/>
              <w:szCs w:val="21"/>
            </w:rPr>
            <w:instrText xml:space="preserve"> HYPERLINK \l _Toc8311 </w:instrText>
          </w:r>
          <w:r>
            <w:rPr>
              <w:sz w:val="21"/>
              <w:szCs w:val="21"/>
            </w:rPr>
            <w:fldChar w:fldCharType="separate"/>
          </w:r>
          <w:r>
            <w:rPr>
              <w:rFonts w:ascii="黑体" w:hAnsi="黑体" w:eastAsia="黑体"/>
              <w:sz w:val="21"/>
              <w:szCs w:val="21"/>
            </w:rPr>
            <w:t>第六章  投标文件格式</w:t>
          </w:r>
          <w:r>
            <w:rPr>
              <w:sz w:val="21"/>
              <w:szCs w:val="21"/>
            </w:rPr>
            <w:tab/>
          </w:r>
          <w:r>
            <w:rPr>
              <w:sz w:val="21"/>
              <w:szCs w:val="21"/>
            </w:rPr>
            <w:fldChar w:fldCharType="begin"/>
          </w:r>
          <w:r>
            <w:rPr>
              <w:sz w:val="21"/>
              <w:szCs w:val="21"/>
            </w:rPr>
            <w:instrText xml:space="preserve"> PAGEREF _Toc8311 \h </w:instrText>
          </w:r>
          <w:r>
            <w:rPr>
              <w:sz w:val="21"/>
              <w:szCs w:val="21"/>
            </w:rPr>
            <w:fldChar w:fldCharType="separate"/>
          </w:r>
          <w:r>
            <w:rPr>
              <w:sz w:val="21"/>
              <w:szCs w:val="21"/>
            </w:rPr>
            <w:t>25</w:t>
          </w:r>
          <w:r>
            <w:rPr>
              <w:sz w:val="21"/>
              <w:szCs w:val="21"/>
            </w:rPr>
            <w:fldChar w:fldCharType="end"/>
          </w:r>
          <w:r>
            <w:rPr>
              <w:sz w:val="21"/>
              <w:szCs w:val="21"/>
            </w:rPr>
            <w:fldChar w:fldCharType="end"/>
          </w:r>
        </w:p>
        <w:p>
          <w:pPr>
            <w:pStyle w:val="29"/>
            <w:keepNext w:val="0"/>
            <w:keepLines w:val="0"/>
            <w:pageBreakBefore w:val="0"/>
            <w:widowControl/>
            <w:tabs>
              <w:tab w:val="right" w:leader="dot" w:pos="9406"/>
            </w:tabs>
            <w:kinsoku/>
            <w:wordWrap/>
            <w:overflowPunct/>
            <w:topLinePunct w:val="0"/>
            <w:autoSpaceDE/>
            <w:autoSpaceDN/>
            <w:bidi w:val="0"/>
            <w:adjustRightInd/>
            <w:snapToGrid/>
            <w:spacing w:line="300" w:lineRule="exact"/>
            <w:textAlignment w:val="auto"/>
            <w:rPr>
              <w:sz w:val="21"/>
              <w:szCs w:val="21"/>
            </w:rPr>
          </w:pPr>
          <w:r>
            <w:rPr>
              <w:sz w:val="21"/>
              <w:szCs w:val="21"/>
            </w:rPr>
            <w:fldChar w:fldCharType="begin"/>
          </w:r>
          <w:r>
            <w:rPr>
              <w:sz w:val="21"/>
              <w:szCs w:val="21"/>
            </w:rPr>
            <w:instrText xml:space="preserve"> HYPERLINK \l _Toc8464 </w:instrText>
          </w:r>
          <w:r>
            <w:rPr>
              <w:sz w:val="21"/>
              <w:szCs w:val="21"/>
            </w:rPr>
            <w:fldChar w:fldCharType="separate"/>
          </w:r>
          <w:r>
            <w:rPr>
              <w:rFonts w:ascii="黑体" w:hAnsi="黑体" w:eastAsia="黑体"/>
              <w:sz w:val="21"/>
              <w:szCs w:val="21"/>
            </w:rPr>
            <w:t>格式1  投标函（通用，分标段填写）</w:t>
          </w:r>
          <w:r>
            <w:rPr>
              <w:sz w:val="21"/>
              <w:szCs w:val="21"/>
            </w:rPr>
            <w:tab/>
          </w:r>
          <w:r>
            <w:rPr>
              <w:sz w:val="21"/>
              <w:szCs w:val="21"/>
            </w:rPr>
            <w:fldChar w:fldCharType="begin"/>
          </w:r>
          <w:r>
            <w:rPr>
              <w:sz w:val="21"/>
              <w:szCs w:val="21"/>
            </w:rPr>
            <w:instrText xml:space="preserve"> PAGEREF _Toc8464 \h </w:instrText>
          </w:r>
          <w:r>
            <w:rPr>
              <w:sz w:val="21"/>
              <w:szCs w:val="21"/>
            </w:rPr>
            <w:fldChar w:fldCharType="separate"/>
          </w:r>
          <w:r>
            <w:rPr>
              <w:sz w:val="21"/>
              <w:szCs w:val="21"/>
            </w:rPr>
            <w:t>25</w:t>
          </w:r>
          <w:r>
            <w:rPr>
              <w:sz w:val="21"/>
              <w:szCs w:val="21"/>
            </w:rPr>
            <w:fldChar w:fldCharType="end"/>
          </w:r>
          <w:r>
            <w:rPr>
              <w:sz w:val="21"/>
              <w:szCs w:val="21"/>
            </w:rPr>
            <w:fldChar w:fldCharType="end"/>
          </w:r>
        </w:p>
        <w:p>
          <w:pPr>
            <w:pStyle w:val="29"/>
            <w:keepNext w:val="0"/>
            <w:keepLines w:val="0"/>
            <w:pageBreakBefore w:val="0"/>
            <w:widowControl/>
            <w:tabs>
              <w:tab w:val="right" w:leader="dot" w:pos="9406"/>
            </w:tabs>
            <w:kinsoku/>
            <w:wordWrap/>
            <w:overflowPunct/>
            <w:topLinePunct w:val="0"/>
            <w:autoSpaceDE/>
            <w:autoSpaceDN/>
            <w:bidi w:val="0"/>
            <w:adjustRightInd/>
            <w:snapToGrid/>
            <w:spacing w:line="300" w:lineRule="exact"/>
            <w:textAlignment w:val="auto"/>
            <w:rPr>
              <w:sz w:val="21"/>
              <w:szCs w:val="21"/>
            </w:rPr>
          </w:pPr>
          <w:r>
            <w:rPr>
              <w:sz w:val="21"/>
              <w:szCs w:val="21"/>
            </w:rPr>
            <w:fldChar w:fldCharType="begin"/>
          </w:r>
          <w:r>
            <w:rPr>
              <w:sz w:val="21"/>
              <w:szCs w:val="21"/>
            </w:rPr>
            <w:instrText xml:space="preserve"> HYPERLINK \l _Toc27145 </w:instrText>
          </w:r>
          <w:r>
            <w:rPr>
              <w:sz w:val="21"/>
              <w:szCs w:val="21"/>
            </w:rPr>
            <w:fldChar w:fldCharType="separate"/>
          </w:r>
          <w:r>
            <w:rPr>
              <w:rFonts w:ascii="黑体" w:hAnsi="黑体" w:eastAsia="黑体"/>
              <w:sz w:val="21"/>
              <w:szCs w:val="21"/>
            </w:rPr>
            <w:t>格式2  法定代表人身份证明</w:t>
          </w:r>
          <w:r>
            <w:rPr>
              <w:sz w:val="21"/>
              <w:szCs w:val="21"/>
            </w:rPr>
            <w:tab/>
          </w:r>
          <w:r>
            <w:rPr>
              <w:sz w:val="21"/>
              <w:szCs w:val="21"/>
            </w:rPr>
            <w:fldChar w:fldCharType="begin"/>
          </w:r>
          <w:r>
            <w:rPr>
              <w:sz w:val="21"/>
              <w:szCs w:val="21"/>
            </w:rPr>
            <w:instrText xml:space="preserve"> PAGEREF _Toc27145 \h </w:instrText>
          </w:r>
          <w:r>
            <w:rPr>
              <w:sz w:val="21"/>
              <w:szCs w:val="21"/>
            </w:rPr>
            <w:fldChar w:fldCharType="separate"/>
          </w:r>
          <w:r>
            <w:rPr>
              <w:sz w:val="21"/>
              <w:szCs w:val="21"/>
            </w:rPr>
            <w:t>26</w:t>
          </w:r>
          <w:r>
            <w:rPr>
              <w:sz w:val="21"/>
              <w:szCs w:val="21"/>
            </w:rPr>
            <w:fldChar w:fldCharType="end"/>
          </w:r>
          <w:r>
            <w:rPr>
              <w:sz w:val="21"/>
              <w:szCs w:val="21"/>
            </w:rPr>
            <w:fldChar w:fldCharType="end"/>
          </w:r>
        </w:p>
        <w:p>
          <w:pPr>
            <w:pStyle w:val="29"/>
            <w:keepNext w:val="0"/>
            <w:keepLines w:val="0"/>
            <w:pageBreakBefore w:val="0"/>
            <w:widowControl/>
            <w:tabs>
              <w:tab w:val="right" w:leader="dot" w:pos="9406"/>
            </w:tabs>
            <w:kinsoku/>
            <w:wordWrap/>
            <w:overflowPunct/>
            <w:topLinePunct w:val="0"/>
            <w:autoSpaceDE/>
            <w:autoSpaceDN/>
            <w:bidi w:val="0"/>
            <w:adjustRightInd/>
            <w:snapToGrid/>
            <w:spacing w:line="300" w:lineRule="exact"/>
            <w:textAlignment w:val="auto"/>
            <w:rPr>
              <w:sz w:val="21"/>
              <w:szCs w:val="21"/>
            </w:rPr>
          </w:pPr>
          <w:r>
            <w:rPr>
              <w:sz w:val="21"/>
              <w:szCs w:val="21"/>
            </w:rPr>
            <w:fldChar w:fldCharType="begin"/>
          </w:r>
          <w:r>
            <w:rPr>
              <w:sz w:val="21"/>
              <w:szCs w:val="21"/>
            </w:rPr>
            <w:instrText xml:space="preserve"> HYPERLINK \l _Toc705 </w:instrText>
          </w:r>
          <w:r>
            <w:rPr>
              <w:sz w:val="21"/>
              <w:szCs w:val="21"/>
            </w:rPr>
            <w:fldChar w:fldCharType="separate"/>
          </w:r>
          <w:r>
            <w:rPr>
              <w:rFonts w:ascii="黑体" w:hAnsi="黑体" w:eastAsia="黑体"/>
              <w:sz w:val="21"/>
              <w:szCs w:val="21"/>
            </w:rPr>
            <w:t>格式3  法定代表人授权委托书（非法人到场必附）</w:t>
          </w:r>
          <w:r>
            <w:rPr>
              <w:sz w:val="21"/>
              <w:szCs w:val="21"/>
            </w:rPr>
            <w:tab/>
          </w:r>
          <w:r>
            <w:rPr>
              <w:sz w:val="21"/>
              <w:szCs w:val="21"/>
            </w:rPr>
            <w:fldChar w:fldCharType="begin"/>
          </w:r>
          <w:r>
            <w:rPr>
              <w:sz w:val="21"/>
              <w:szCs w:val="21"/>
            </w:rPr>
            <w:instrText xml:space="preserve"> PAGEREF _Toc705 \h </w:instrText>
          </w:r>
          <w:r>
            <w:rPr>
              <w:sz w:val="21"/>
              <w:szCs w:val="21"/>
            </w:rPr>
            <w:fldChar w:fldCharType="separate"/>
          </w:r>
          <w:r>
            <w:rPr>
              <w:sz w:val="21"/>
              <w:szCs w:val="21"/>
            </w:rPr>
            <w:t>27</w:t>
          </w:r>
          <w:r>
            <w:rPr>
              <w:sz w:val="21"/>
              <w:szCs w:val="21"/>
            </w:rPr>
            <w:fldChar w:fldCharType="end"/>
          </w:r>
          <w:r>
            <w:rPr>
              <w:sz w:val="21"/>
              <w:szCs w:val="21"/>
            </w:rPr>
            <w:fldChar w:fldCharType="end"/>
          </w:r>
        </w:p>
        <w:p>
          <w:pPr>
            <w:pStyle w:val="29"/>
            <w:keepNext w:val="0"/>
            <w:keepLines w:val="0"/>
            <w:pageBreakBefore w:val="0"/>
            <w:widowControl/>
            <w:tabs>
              <w:tab w:val="right" w:leader="dot" w:pos="9406"/>
            </w:tabs>
            <w:kinsoku/>
            <w:wordWrap/>
            <w:overflowPunct/>
            <w:topLinePunct w:val="0"/>
            <w:autoSpaceDE/>
            <w:autoSpaceDN/>
            <w:bidi w:val="0"/>
            <w:adjustRightInd/>
            <w:snapToGrid/>
            <w:spacing w:line="300" w:lineRule="exact"/>
            <w:textAlignment w:val="auto"/>
            <w:rPr>
              <w:sz w:val="21"/>
              <w:szCs w:val="21"/>
            </w:rPr>
          </w:pPr>
          <w:r>
            <w:rPr>
              <w:sz w:val="21"/>
              <w:szCs w:val="21"/>
            </w:rPr>
            <w:fldChar w:fldCharType="begin"/>
          </w:r>
          <w:r>
            <w:rPr>
              <w:sz w:val="21"/>
              <w:szCs w:val="21"/>
            </w:rPr>
            <w:instrText xml:space="preserve"> HYPERLINK \l _Toc8671 </w:instrText>
          </w:r>
          <w:r>
            <w:rPr>
              <w:sz w:val="21"/>
              <w:szCs w:val="21"/>
            </w:rPr>
            <w:fldChar w:fldCharType="separate"/>
          </w:r>
          <w:r>
            <w:rPr>
              <w:rFonts w:ascii="黑体" w:hAnsi="黑体" w:eastAsia="黑体"/>
              <w:sz w:val="21"/>
              <w:szCs w:val="21"/>
            </w:rPr>
            <w:t>格式4  投标人基本情况表</w:t>
          </w:r>
          <w:r>
            <w:rPr>
              <w:sz w:val="21"/>
              <w:szCs w:val="21"/>
            </w:rPr>
            <w:tab/>
          </w:r>
          <w:r>
            <w:rPr>
              <w:sz w:val="21"/>
              <w:szCs w:val="21"/>
            </w:rPr>
            <w:fldChar w:fldCharType="begin"/>
          </w:r>
          <w:r>
            <w:rPr>
              <w:sz w:val="21"/>
              <w:szCs w:val="21"/>
            </w:rPr>
            <w:instrText xml:space="preserve"> PAGEREF _Toc8671 \h </w:instrText>
          </w:r>
          <w:r>
            <w:rPr>
              <w:sz w:val="21"/>
              <w:szCs w:val="21"/>
            </w:rPr>
            <w:fldChar w:fldCharType="separate"/>
          </w:r>
          <w:r>
            <w:rPr>
              <w:sz w:val="21"/>
              <w:szCs w:val="21"/>
            </w:rPr>
            <w:t>28</w:t>
          </w:r>
          <w:r>
            <w:rPr>
              <w:sz w:val="21"/>
              <w:szCs w:val="21"/>
            </w:rPr>
            <w:fldChar w:fldCharType="end"/>
          </w:r>
          <w:r>
            <w:rPr>
              <w:sz w:val="21"/>
              <w:szCs w:val="21"/>
            </w:rPr>
            <w:fldChar w:fldCharType="end"/>
          </w:r>
        </w:p>
        <w:p>
          <w:pPr>
            <w:pStyle w:val="29"/>
            <w:keepNext w:val="0"/>
            <w:keepLines w:val="0"/>
            <w:pageBreakBefore w:val="0"/>
            <w:widowControl/>
            <w:tabs>
              <w:tab w:val="right" w:leader="dot" w:pos="9406"/>
            </w:tabs>
            <w:kinsoku/>
            <w:wordWrap/>
            <w:overflowPunct/>
            <w:topLinePunct w:val="0"/>
            <w:autoSpaceDE/>
            <w:autoSpaceDN/>
            <w:bidi w:val="0"/>
            <w:adjustRightInd/>
            <w:snapToGrid/>
            <w:spacing w:line="300" w:lineRule="exact"/>
            <w:textAlignment w:val="auto"/>
            <w:rPr>
              <w:sz w:val="21"/>
              <w:szCs w:val="21"/>
            </w:rPr>
          </w:pPr>
          <w:r>
            <w:rPr>
              <w:sz w:val="21"/>
              <w:szCs w:val="21"/>
            </w:rPr>
            <w:fldChar w:fldCharType="begin"/>
          </w:r>
          <w:r>
            <w:rPr>
              <w:sz w:val="21"/>
              <w:szCs w:val="21"/>
            </w:rPr>
            <w:instrText xml:space="preserve"> HYPERLINK \l _Toc31779 </w:instrText>
          </w:r>
          <w:r>
            <w:rPr>
              <w:sz w:val="21"/>
              <w:szCs w:val="21"/>
            </w:rPr>
            <w:fldChar w:fldCharType="separate"/>
          </w:r>
          <w:r>
            <w:rPr>
              <w:rFonts w:ascii="黑体" w:hAnsi="黑体" w:eastAsia="黑体"/>
              <w:sz w:val="21"/>
              <w:szCs w:val="21"/>
            </w:rPr>
            <w:t>格式5  投标保证金缴纳凭证复印件粘贴页</w:t>
          </w:r>
          <w:r>
            <w:rPr>
              <w:sz w:val="21"/>
              <w:szCs w:val="21"/>
            </w:rPr>
            <w:tab/>
          </w:r>
          <w:r>
            <w:rPr>
              <w:sz w:val="21"/>
              <w:szCs w:val="21"/>
            </w:rPr>
            <w:fldChar w:fldCharType="begin"/>
          </w:r>
          <w:r>
            <w:rPr>
              <w:sz w:val="21"/>
              <w:szCs w:val="21"/>
            </w:rPr>
            <w:instrText xml:space="preserve"> PAGEREF _Toc31779 \h </w:instrText>
          </w:r>
          <w:r>
            <w:rPr>
              <w:sz w:val="21"/>
              <w:szCs w:val="21"/>
            </w:rPr>
            <w:fldChar w:fldCharType="separate"/>
          </w:r>
          <w:r>
            <w:rPr>
              <w:sz w:val="21"/>
              <w:szCs w:val="21"/>
            </w:rPr>
            <w:t>29</w:t>
          </w:r>
          <w:r>
            <w:rPr>
              <w:sz w:val="21"/>
              <w:szCs w:val="21"/>
            </w:rPr>
            <w:fldChar w:fldCharType="end"/>
          </w:r>
          <w:r>
            <w:rPr>
              <w:sz w:val="21"/>
              <w:szCs w:val="21"/>
            </w:rPr>
            <w:fldChar w:fldCharType="end"/>
          </w:r>
        </w:p>
        <w:p>
          <w:pPr>
            <w:pStyle w:val="29"/>
            <w:keepNext w:val="0"/>
            <w:keepLines w:val="0"/>
            <w:pageBreakBefore w:val="0"/>
            <w:widowControl/>
            <w:tabs>
              <w:tab w:val="right" w:leader="dot" w:pos="9406"/>
            </w:tabs>
            <w:kinsoku/>
            <w:wordWrap/>
            <w:overflowPunct/>
            <w:topLinePunct w:val="0"/>
            <w:autoSpaceDE/>
            <w:autoSpaceDN/>
            <w:bidi w:val="0"/>
            <w:adjustRightInd/>
            <w:snapToGrid/>
            <w:spacing w:line="300" w:lineRule="exact"/>
            <w:textAlignment w:val="auto"/>
            <w:rPr>
              <w:sz w:val="21"/>
              <w:szCs w:val="21"/>
            </w:rPr>
          </w:pPr>
          <w:r>
            <w:rPr>
              <w:sz w:val="21"/>
              <w:szCs w:val="21"/>
            </w:rPr>
            <w:fldChar w:fldCharType="begin"/>
          </w:r>
          <w:r>
            <w:rPr>
              <w:sz w:val="21"/>
              <w:szCs w:val="21"/>
            </w:rPr>
            <w:instrText xml:space="preserve"> HYPERLINK \l _Toc11311 </w:instrText>
          </w:r>
          <w:r>
            <w:rPr>
              <w:sz w:val="21"/>
              <w:szCs w:val="21"/>
            </w:rPr>
            <w:fldChar w:fldCharType="separate"/>
          </w:r>
          <w:r>
            <w:rPr>
              <w:rFonts w:ascii="黑体" w:hAnsi="黑体" w:eastAsia="黑体"/>
              <w:sz w:val="21"/>
              <w:szCs w:val="21"/>
            </w:rPr>
            <w:t>格式6  技术参数响应偏离对照表（分标段单独填报）</w:t>
          </w:r>
          <w:r>
            <w:rPr>
              <w:sz w:val="21"/>
              <w:szCs w:val="21"/>
            </w:rPr>
            <w:tab/>
          </w:r>
          <w:r>
            <w:rPr>
              <w:sz w:val="21"/>
              <w:szCs w:val="21"/>
            </w:rPr>
            <w:fldChar w:fldCharType="begin"/>
          </w:r>
          <w:r>
            <w:rPr>
              <w:sz w:val="21"/>
              <w:szCs w:val="21"/>
            </w:rPr>
            <w:instrText xml:space="preserve"> PAGEREF _Toc11311 \h </w:instrText>
          </w:r>
          <w:r>
            <w:rPr>
              <w:sz w:val="21"/>
              <w:szCs w:val="21"/>
            </w:rPr>
            <w:fldChar w:fldCharType="separate"/>
          </w:r>
          <w:r>
            <w:rPr>
              <w:sz w:val="21"/>
              <w:szCs w:val="21"/>
            </w:rPr>
            <w:t>30</w:t>
          </w:r>
          <w:r>
            <w:rPr>
              <w:sz w:val="21"/>
              <w:szCs w:val="21"/>
            </w:rPr>
            <w:fldChar w:fldCharType="end"/>
          </w:r>
          <w:r>
            <w:rPr>
              <w:sz w:val="21"/>
              <w:szCs w:val="21"/>
            </w:rPr>
            <w:fldChar w:fldCharType="end"/>
          </w:r>
        </w:p>
        <w:p>
          <w:pPr>
            <w:pStyle w:val="29"/>
            <w:keepNext w:val="0"/>
            <w:keepLines w:val="0"/>
            <w:pageBreakBefore w:val="0"/>
            <w:widowControl/>
            <w:tabs>
              <w:tab w:val="right" w:leader="dot" w:pos="9406"/>
            </w:tabs>
            <w:kinsoku/>
            <w:wordWrap/>
            <w:overflowPunct/>
            <w:topLinePunct w:val="0"/>
            <w:autoSpaceDE/>
            <w:autoSpaceDN/>
            <w:bidi w:val="0"/>
            <w:adjustRightInd/>
            <w:snapToGrid/>
            <w:spacing w:line="300" w:lineRule="exact"/>
            <w:textAlignment w:val="auto"/>
            <w:rPr>
              <w:sz w:val="21"/>
              <w:szCs w:val="21"/>
            </w:rPr>
          </w:pPr>
          <w:r>
            <w:rPr>
              <w:sz w:val="21"/>
              <w:szCs w:val="21"/>
            </w:rPr>
            <w:fldChar w:fldCharType="begin"/>
          </w:r>
          <w:r>
            <w:rPr>
              <w:sz w:val="21"/>
              <w:szCs w:val="21"/>
            </w:rPr>
            <w:instrText xml:space="preserve"> HYPERLINK \l _Toc28276 </w:instrText>
          </w:r>
          <w:r>
            <w:rPr>
              <w:sz w:val="21"/>
              <w:szCs w:val="21"/>
            </w:rPr>
            <w:fldChar w:fldCharType="separate"/>
          </w:r>
          <w:r>
            <w:rPr>
              <w:rFonts w:ascii="黑体" w:hAnsi="黑体" w:eastAsia="黑体"/>
              <w:sz w:val="21"/>
              <w:szCs w:val="21"/>
            </w:rPr>
            <w:t>格式7  标段报价一览表（单独密封，一式4份）</w:t>
          </w:r>
          <w:r>
            <w:rPr>
              <w:sz w:val="21"/>
              <w:szCs w:val="21"/>
            </w:rPr>
            <w:tab/>
          </w:r>
          <w:r>
            <w:rPr>
              <w:sz w:val="21"/>
              <w:szCs w:val="21"/>
            </w:rPr>
            <w:fldChar w:fldCharType="begin"/>
          </w:r>
          <w:r>
            <w:rPr>
              <w:sz w:val="21"/>
              <w:szCs w:val="21"/>
            </w:rPr>
            <w:instrText xml:space="preserve"> PAGEREF _Toc28276 \h </w:instrText>
          </w:r>
          <w:r>
            <w:rPr>
              <w:sz w:val="21"/>
              <w:szCs w:val="21"/>
            </w:rPr>
            <w:fldChar w:fldCharType="separate"/>
          </w:r>
          <w:r>
            <w:rPr>
              <w:sz w:val="21"/>
              <w:szCs w:val="21"/>
            </w:rPr>
            <w:t>31</w:t>
          </w:r>
          <w:r>
            <w:rPr>
              <w:sz w:val="21"/>
              <w:szCs w:val="21"/>
            </w:rPr>
            <w:fldChar w:fldCharType="end"/>
          </w:r>
          <w:r>
            <w:rPr>
              <w:sz w:val="21"/>
              <w:szCs w:val="21"/>
            </w:rPr>
            <w:fldChar w:fldCharType="end"/>
          </w:r>
        </w:p>
        <w:p>
          <w:pPr>
            <w:pStyle w:val="29"/>
            <w:keepNext w:val="0"/>
            <w:keepLines w:val="0"/>
            <w:pageBreakBefore w:val="0"/>
            <w:widowControl/>
            <w:tabs>
              <w:tab w:val="right" w:leader="dot" w:pos="9406"/>
            </w:tabs>
            <w:kinsoku/>
            <w:wordWrap/>
            <w:overflowPunct/>
            <w:topLinePunct w:val="0"/>
            <w:autoSpaceDE/>
            <w:autoSpaceDN/>
            <w:bidi w:val="0"/>
            <w:adjustRightInd/>
            <w:snapToGrid/>
            <w:spacing w:line="300" w:lineRule="exact"/>
            <w:textAlignment w:val="auto"/>
            <w:rPr>
              <w:sz w:val="21"/>
              <w:szCs w:val="21"/>
            </w:rPr>
          </w:pPr>
          <w:r>
            <w:rPr>
              <w:sz w:val="21"/>
              <w:szCs w:val="21"/>
            </w:rPr>
            <w:fldChar w:fldCharType="begin"/>
          </w:r>
          <w:r>
            <w:rPr>
              <w:sz w:val="21"/>
              <w:szCs w:val="21"/>
            </w:rPr>
            <w:instrText xml:space="preserve"> HYPERLINK \l _Toc17300 </w:instrText>
          </w:r>
          <w:r>
            <w:rPr>
              <w:sz w:val="21"/>
              <w:szCs w:val="21"/>
            </w:rPr>
            <w:fldChar w:fldCharType="separate"/>
          </w:r>
          <w:r>
            <w:rPr>
              <w:rFonts w:ascii="黑体" w:hAnsi="黑体" w:eastAsia="黑体"/>
              <w:sz w:val="21"/>
              <w:szCs w:val="21"/>
            </w:rPr>
            <w:t>格式8  同类营运客车业绩汇总表</w:t>
          </w:r>
          <w:r>
            <w:rPr>
              <w:sz w:val="21"/>
              <w:szCs w:val="21"/>
            </w:rPr>
            <w:tab/>
          </w:r>
          <w:r>
            <w:rPr>
              <w:sz w:val="21"/>
              <w:szCs w:val="21"/>
            </w:rPr>
            <w:fldChar w:fldCharType="begin"/>
          </w:r>
          <w:r>
            <w:rPr>
              <w:sz w:val="21"/>
              <w:szCs w:val="21"/>
            </w:rPr>
            <w:instrText xml:space="preserve"> PAGEREF _Toc17300 \h </w:instrText>
          </w:r>
          <w:r>
            <w:rPr>
              <w:sz w:val="21"/>
              <w:szCs w:val="21"/>
            </w:rPr>
            <w:fldChar w:fldCharType="separate"/>
          </w:r>
          <w:r>
            <w:rPr>
              <w:sz w:val="21"/>
              <w:szCs w:val="21"/>
            </w:rPr>
            <w:t>32</w:t>
          </w:r>
          <w:r>
            <w:rPr>
              <w:sz w:val="21"/>
              <w:szCs w:val="21"/>
            </w:rPr>
            <w:fldChar w:fldCharType="end"/>
          </w:r>
          <w:r>
            <w:rPr>
              <w:sz w:val="21"/>
              <w:szCs w:val="21"/>
            </w:rPr>
            <w:fldChar w:fldCharType="end"/>
          </w:r>
        </w:p>
        <w:p>
          <w:pPr>
            <w:pStyle w:val="29"/>
            <w:keepNext w:val="0"/>
            <w:keepLines w:val="0"/>
            <w:pageBreakBefore w:val="0"/>
            <w:widowControl/>
            <w:tabs>
              <w:tab w:val="right" w:leader="dot" w:pos="9406"/>
            </w:tabs>
            <w:kinsoku/>
            <w:wordWrap/>
            <w:overflowPunct/>
            <w:topLinePunct w:val="0"/>
            <w:autoSpaceDE/>
            <w:autoSpaceDN/>
            <w:bidi w:val="0"/>
            <w:adjustRightInd/>
            <w:snapToGrid/>
            <w:spacing w:line="300" w:lineRule="exact"/>
            <w:textAlignment w:val="auto"/>
            <w:rPr>
              <w:sz w:val="21"/>
              <w:szCs w:val="21"/>
            </w:rPr>
          </w:pPr>
          <w:r>
            <w:rPr>
              <w:sz w:val="21"/>
              <w:szCs w:val="21"/>
            </w:rPr>
            <w:fldChar w:fldCharType="begin"/>
          </w:r>
          <w:r>
            <w:rPr>
              <w:sz w:val="21"/>
              <w:szCs w:val="21"/>
            </w:rPr>
            <w:instrText xml:space="preserve"> HYPERLINK \l _Toc30425 </w:instrText>
          </w:r>
          <w:r>
            <w:rPr>
              <w:sz w:val="21"/>
              <w:szCs w:val="21"/>
            </w:rPr>
            <w:fldChar w:fldCharType="separate"/>
          </w:r>
          <w:r>
            <w:rPr>
              <w:rFonts w:ascii="黑体" w:hAnsi="黑体" w:eastAsia="黑体"/>
              <w:sz w:val="21"/>
              <w:szCs w:val="21"/>
            </w:rPr>
            <w:t>格式9  质量与质保专项承诺书</w:t>
          </w:r>
          <w:r>
            <w:rPr>
              <w:sz w:val="21"/>
              <w:szCs w:val="21"/>
            </w:rPr>
            <w:tab/>
          </w:r>
          <w:r>
            <w:rPr>
              <w:sz w:val="21"/>
              <w:szCs w:val="21"/>
            </w:rPr>
            <w:fldChar w:fldCharType="begin"/>
          </w:r>
          <w:r>
            <w:rPr>
              <w:sz w:val="21"/>
              <w:szCs w:val="21"/>
            </w:rPr>
            <w:instrText xml:space="preserve"> PAGEREF _Toc30425 \h </w:instrText>
          </w:r>
          <w:r>
            <w:rPr>
              <w:sz w:val="21"/>
              <w:szCs w:val="21"/>
            </w:rPr>
            <w:fldChar w:fldCharType="separate"/>
          </w:r>
          <w:r>
            <w:rPr>
              <w:sz w:val="21"/>
              <w:szCs w:val="21"/>
            </w:rPr>
            <w:t>33</w:t>
          </w:r>
          <w:r>
            <w:rPr>
              <w:sz w:val="21"/>
              <w:szCs w:val="21"/>
            </w:rPr>
            <w:fldChar w:fldCharType="end"/>
          </w:r>
          <w:r>
            <w:rPr>
              <w:sz w:val="21"/>
              <w:szCs w:val="21"/>
            </w:rPr>
            <w:fldChar w:fldCharType="end"/>
          </w:r>
        </w:p>
        <w:p>
          <w:pPr>
            <w:pStyle w:val="29"/>
            <w:keepNext w:val="0"/>
            <w:keepLines w:val="0"/>
            <w:pageBreakBefore w:val="0"/>
            <w:widowControl/>
            <w:tabs>
              <w:tab w:val="right" w:leader="dot" w:pos="9406"/>
            </w:tabs>
            <w:kinsoku/>
            <w:wordWrap/>
            <w:overflowPunct/>
            <w:topLinePunct w:val="0"/>
            <w:autoSpaceDE/>
            <w:autoSpaceDN/>
            <w:bidi w:val="0"/>
            <w:adjustRightInd/>
            <w:snapToGrid/>
            <w:spacing w:line="300" w:lineRule="exact"/>
            <w:textAlignment w:val="auto"/>
            <w:rPr>
              <w:sz w:val="21"/>
              <w:szCs w:val="21"/>
            </w:rPr>
          </w:pPr>
          <w:r>
            <w:rPr>
              <w:sz w:val="21"/>
              <w:szCs w:val="21"/>
            </w:rPr>
            <w:fldChar w:fldCharType="begin"/>
          </w:r>
          <w:r>
            <w:rPr>
              <w:sz w:val="21"/>
              <w:szCs w:val="21"/>
            </w:rPr>
            <w:instrText xml:space="preserve"> HYPERLINK \l _Toc29136 </w:instrText>
          </w:r>
          <w:r>
            <w:rPr>
              <w:sz w:val="21"/>
              <w:szCs w:val="21"/>
            </w:rPr>
            <w:fldChar w:fldCharType="separate"/>
          </w:r>
          <w:r>
            <w:rPr>
              <w:rFonts w:ascii="黑体" w:hAnsi="黑体" w:eastAsia="黑体"/>
              <w:sz w:val="21"/>
              <w:szCs w:val="21"/>
            </w:rPr>
            <w:t>格式10  完整售后服务方案简表（配套详细方案文档）</w:t>
          </w:r>
          <w:r>
            <w:rPr>
              <w:sz w:val="21"/>
              <w:szCs w:val="21"/>
            </w:rPr>
            <w:tab/>
          </w:r>
          <w:r>
            <w:rPr>
              <w:sz w:val="21"/>
              <w:szCs w:val="21"/>
            </w:rPr>
            <w:fldChar w:fldCharType="begin"/>
          </w:r>
          <w:r>
            <w:rPr>
              <w:sz w:val="21"/>
              <w:szCs w:val="21"/>
            </w:rPr>
            <w:instrText xml:space="preserve"> PAGEREF _Toc29136 \h </w:instrText>
          </w:r>
          <w:r>
            <w:rPr>
              <w:sz w:val="21"/>
              <w:szCs w:val="21"/>
            </w:rPr>
            <w:fldChar w:fldCharType="separate"/>
          </w:r>
          <w:r>
            <w:rPr>
              <w:sz w:val="21"/>
              <w:szCs w:val="21"/>
            </w:rPr>
            <w:t>34</w:t>
          </w:r>
          <w:r>
            <w:rPr>
              <w:sz w:val="21"/>
              <w:szCs w:val="21"/>
            </w:rPr>
            <w:fldChar w:fldCharType="end"/>
          </w:r>
          <w:r>
            <w:rPr>
              <w:sz w:val="21"/>
              <w:szCs w:val="21"/>
            </w:rPr>
            <w:fldChar w:fldCharType="end"/>
          </w:r>
        </w:p>
        <w:p>
          <w:pPr>
            <w:pStyle w:val="29"/>
            <w:keepNext w:val="0"/>
            <w:keepLines w:val="0"/>
            <w:pageBreakBefore w:val="0"/>
            <w:widowControl/>
            <w:tabs>
              <w:tab w:val="right" w:leader="dot" w:pos="9406"/>
            </w:tabs>
            <w:kinsoku/>
            <w:wordWrap/>
            <w:overflowPunct/>
            <w:topLinePunct w:val="0"/>
            <w:autoSpaceDE/>
            <w:autoSpaceDN/>
            <w:bidi w:val="0"/>
            <w:adjustRightInd/>
            <w:snapToGrid/>
            <w:spacing w:line="300" w:lineRule="exact"/>
            <w:textAlignment w:val="auto"/>
            <w:rPr>
              <w:sz w:val="21"/>
              <w:szCs w:val="21"/>
            </w:rPr>
          </w:pPr>
          <w:r>
            <w:rPr>
              <w:sz w:val="21"/>
              <w:szCs w:val="21"/>
            </w:rPr>
            <w:fldChar w:fldCharType="begin"/>
          </w:r>
          <w:r>
            <w:rPr>
              <w:sz w:val="21"/>
              <w:szCs w:val="21"/>
            </w:rPr>
            <w:instrText xml:space="preserve"> HYPERLINK \l _Toc31880 </w:instrText>
          </w:r>
          <w:r>
            <w:rPr>
              <w:sz w:val="21"/>
              <w:szCs w:val="21"/>
            </w:rPr>
            <w:fldChar w:fldCharType="separate"/>
          </w:r>
          <w:r>
            <w:rPr>
              <w:rFonts w:ascii="黑体" w:hAnsi="黑体" w:eastAsia="黑体"/>
              <w:sz w:val="21"/>
              <w:szCs w:val="21"/>
            </w:rPr>
            <w:t>格式11  近三年无重大违法经营书面声明</w:t>
          </w:r>
          <w:r>
            <w:rPr>
              <w:sz w:val="21"/>
              <w:szCs w:val="21"/>
            </w:rPr>
            <w:tab/>
          </w:r>
          <w:r>
            <w:rPr>
              <w:sz w:val="21"/>
              <w:szCs w:val="21"/>
            </w:rPr>
            <w:fldChar w:fldCharType="begin"/>
          </w:r>
          <w:r>
            <w:rPr>
              <w:sz w:val="21"/>
              <w:szCs w:val="21"/>
            </w:rPr>
            <w:instrText xml:space="preserve"> PAGEREF _Toc31880 \h </w:instrText>
          </w:r>
          <w:r>
            <w:rPr>
              <w:sz w:val="21"/>
              <w:szCs w:val="21"/>
            </w:rPr>
            <w:fldChar w:fldCharType="separate"/>
          </w:r>
          <w:r>
            <w:rPr>
              <w:sz w:val="21"/>
              <w:szCs w:val="21"/>
            </w:rPr>
            <w:t>35</w:t>
          </w:r>
          <w:r>
            <w:rPr>
              <w:sz w:val="21"/>
              <w:szCs w:val="21"/>
            </w:rPr>
            <w:fldChar w:fldCharType="end"/>
          </w:r>
          <w:r>
            <w:rPr>
              <w:sz w:val="21"/>
              <w:szCs w:val="21"/>
            </w:rPr>
            <w:fldChar w:fldCharType="end"/>
          </w:r>
        </w:p>
        <w:p>
          <w:pPr>
            <w:pStyle w:val="29"/>
            <w:keepNext w:val="0"/>
            <w:keepLines w:val="0"/>
            <w:pageBreakBefore w:val="0"/>
            <w:widowControl/>
            <w:tabs>
              <w:tab w:val="right" w:leader="dot" w:pos="9406"/>
            </w:tabs>
            <w:kinsoku/>
            <w:wordWrap/>
            <w:overflowPunct/>
            <w:topLinePunct w:val="0"/>
            <w:autoSpaceDE/>
            <w:autoSpaceDN/>
            <w:bidi w:val="0"/>
            <w:adjustRightInd/>
            <w:snapToGrid/>
            <w:spacing w:line="300" w:lineRule="exact"/>
            <w:textAlignment w:val="auto"/>
            <w:rPr>
              <w:sz w:val="21"/>
              <w:szCs w:val="21"/>
            </w:rPr>
          </w:pPr>
          <w:r>
            <w:rPr>
              <w:sz w:val="21"/>
              <w:szCs w:val="21"/>
            </w:rPr>
            <w:fldChar w:fldCharType="begin"/>
          </w:r>
          <w:r>
            <w:rPr>
              <w:sz w:val="21"/>
              <w:szCs w:val="21"/>
            </w:rPr>
            <w:instrText xml:space="preserve"> HYPERLINK \l _Toc31670 </w:instrText>
          </w:r>
          <w:r>
            <w:rPr>
              <w:sz w:val="21"/>
              <w:szCs w:val="21"/>
            </w:rPr>
            <w:fldChar w:fldCharType="separate"/>
          </w:r>
          <w:r>
            <w:rPr>
              <w:rFonts w:ascii="黑体" w:hAnsi="黑体" w:eastAsia="黑体"/>
              <w:sz w:val="21"/>
              <w:szCs w:val="21"/>
            </w:rPr>
            <w:t>格式12  廉政承诺函</w:t>
          </w:r>
          <w:r>
            <w:rPr>
              <w:sz w:val="21"/>
              <w:szCs w:val="21"/>
            </w:rPr>
            <w:tab/>
          </w:r>
          <w:r>
            <w:rPr>
              <w:sz w:val="21"/>
              <w:szCs w:val="21"/>
            </w:rPr>
            <w:fldChar w:fldCharType="begin"/>
          </w:r>
          <w:r>
            <w:rPr>
              <w:sz w:val="21"/>
              <w:szCs w:val="21"/>
            </w:rPr>
            <w:instrText xml:space="preserve"> PAGEREF _Toc31670 \h </w:instrText>
          </w:r>
          <w:r>
            <w:rPr>
              <w:sz w:val="21"/>
              <w:szCs w:val="21"/>
            </w:rPr>
            <w:fldChar w:fldCharType="separate"/>
          </w:r>
          <w:r>
            <w:rPr>
              <w:sz w:val="21"/>
              <w:szCs w:val="21"/>
            </w:rPr>
            <w:t>36</w:t>
          </w:r>
          <w:r>
            <w:rPr>
              <w:sz w:val="21"/>
              <w:szCs w:val="21"/>
            </w:rPr>
            <w:fldChar w:fldCharType="end"/>
          </w:r>
          <w:r>
            <w:rPr>
              <w:sz w:val="21"/>
              <w:szCs w:val="21"/>
            </w:rPr>
            <w:fldChar w:fldCharType="end"/>
          </w:r>
        </w:p>
        <w:p>
          <w:pPr>
            <w:pStyle w:val="29"/>
            <w:keepNext w:val="0"/>
            <w:keepLines w:val="0"/>
            <w:pageBreakBefore w:val="0"/>
            <w:widowControl/>
            <w:tabs>
              <w:tab w:val="right" w:leader="dot" w:pos="9406"/>
            </w:tabs>
            <w:kinsoku/>
            <w:wordWrap/>
            <w:overflowPunct/>
            <w:topLinePunct w:val="0"/>
            <w:autoSpaceDE/>
            <w:autoSpaceDN/>
            <w:bidi w:val="0"/>
            <w:adjustRightInd/>
            <w:snapToGrid/>
            <w:spacing w:line="300" w:lineRule="exact"/>
            <w:textAlignment w:val="auto"/>
            <w:rPr>
              <w:sz w:val="21"/>
              <w:szCs w:val="21"/>
            </w:rPr>
          </w:pPr>
          <w:r>
            <w:rPr>
              <w:sz w:val="21"/>
              <w:szCs w:val="21"/>
            </w:rPr>
            <w:fldChar w:fldCharType="begin"/>
          </w:r>
          <w:r>
            <w:rPr>
              <w:sz w:val="21"/>
              <w:szCs w:val="21"/>
            </w:rPr>
            <w:instrText xml:space="preserve"> HYPERLINK \l _Toc10656 </w:instrText>
          </w:r>
          <w:r>
            <w:rPr>
              <w:sz w:val="21"/>
              <w:szCs w:val="21"/>
            </w:rPr>
            <w:fldChar w:fldCharType="separate"/>
          </w:r>
          <w:r>
            <w:rPr>
              <w:rFonts w:ascii="黑体" w:hAnsi="黑体" w:eastAsia="黑体"/>
              <w:sz w:val="21"/>
              <w:szCs w:val="21"/>
            </w:rPr>
            <w:t>格式13  技术参数偏离佐证材料目录</w:t>
          </w:r>
          <w:r>
            <w:rPr>
              <w:sz w:val="21"/>
              <w:szCs w:val="21"/>
            </w:rPr>
            <w:tab/>
          </w:r>
          <w:r>
            <w:rPr>
              <w:sz w:val="21"/>
              <w:szCs w:val="21"/>
            </w:rPr>
            <w:fldChar w:fldCharType="begin"/>
          </w:r>
          <w:r>
            <w:rPr>
              <w:sz w:val="21"/>
              <w:szCs w:val="21"/>
            </w:rPr>
            <w:instrText xml:space="preserve"> PAGEREF _Toc10656 \h </w:instrText>
          </w:r>
          <w:r>
            <w:rPr>
              <w:sz w:val="21"/>
              <w:szCs w:val="21"/>
            </w:rPr>
            <w:fldChar w:fldCharType="separate"/>
          </w:r>
          <w:r>
            <w:rPr>
              <w:sz w:val="21"/>
              <w:szCs w:val="21"/>
            </w:rPr>
            <w:t>37</w:t>
          </w:r>
          <w:r>
            <w:rPr>
              <w:sz w:val="21"/>
              <w:szCs w:val="21"/>
            </w:rPr>
            <w:fldChar w:fldCharType="end"/>
          </w:r>
          <w:r>
            <w:rPr>
              <w:sz w:val="21"/>
              <w:szCs w:val="21"/>
            </w:rPr>
            <w:fldChar w:fldCharType="end"/>
          </w:r>
        </w:p>
        <w:p>
          <w:pPr>
            <w:pStyle w:val="2"/>
            <w:keepNext w:val="0"/>
            <w:keepLines w:val="0"/>
            <w:pageBreakBefore w:val="0"/>
            <w:widowControl/>
            <w:kinsoku/>
            <w:wordWrap/>
            <w:overflowPunct/>
            <w:topLinePunct w:val="0"/>
            <w:autoSpaceDE/>
            <w:autoSpaceDN/>
            <w:bidi w:val="0"/>
            <w:adjustRightInd/>
            <w:snapToGrid/>
            <w:spacing w:line="300" w:lineRule="exact"/>
            <w:textAlignment w:val="auto"/>
            <w:rPr>
              <w:rFonts w:ascii="宋体" w:hAnsi="宋体" w:eastAsia="宋体" w:cstheme="minorBidi"/>
              <w:b/>
              <w:bCs/>
              <w:sz w:val="21"/>
              <w:szCs w:val="21"/>
              <w:lang w:val="en-US" w:eastAsia="en-US" w:bidi="ar-SA"/>
            </w:rPr>
          </w:pPr>
          <w:r>
            <w:rPr>
              <w:sz w:val="21"/>
              <w:szCs w:val="21"/>
            </w:rPr>
            <w:fldChar w:fldCharType="end"/>
          </w:r>
        </w:p>
      </w:sdtContent>
    </w:sdt>
    <w:p>
      <w:pPr>
        <w:keepNext w:val="0"/>
        <w:keepLines w:val="0"/>
        <w:pageBreakBefore w:val="0"/>
        <w:widowControl/>
        <w:kinsoku/>
        <w:wordWrap/>
        <w:overflowPunct/>
        <w:topLinePunct w:val="0"/>
        <w:autoSpaceDE/>
        <w:autoSpaceDN/>
        <w:bidi w:val="0"/>
        <w:adjustRightInd/>
        <w:snapToGrid/>
        <w:spacing w:line="300" w:lineRule="exact"/>
        <w:textAlignment w:val="auto"/>
        <w:rPr>
          <w:sz w:val="21"/>
          <w:szCs w:val="21"/>
        </w:rPr>
        <w:sectPr>
          <w:footerReference r:id="rId3" w:type="default"/>
          <w:pgSz w:w="12240" w:h="15840"/>
          <w:pgMar w:top="1417" w:right="1417" w:bottom="1417" w:left="1417" w:header="720" w:footer="720" w:gutter="0"/>
          <w:cols w:space="720" w:num="1"/>
          <w:docGrid w:linePitch="360" w:charSpace="0"/>
        </w:sectPr>
      </w:pPr>
    </w:p>
    <w:p>
      <w:pPr>
        <w:spacing w:line="360" w:lineRule="auto"/>
        <w:jc w:val="center"/>
        <w:outlineLvl w:val="0"/>
        <w:rPr>
          <w:rFonts w:hint="default" w:eastAsia="黑体"/>
          <w:lang w:val="en-US" w:eastAsia="zh-CN"/>
        </w:rPr>
      </w:pPr>
      <w:bookmarkStart w:id="4" w:name="_Toc15990"/>
      <w:r>
        <w:rPr>
          <w:rFonts w:ascii="黑体" w:hAnsi="黑体" w:eastAsia="黑体"/>
          <w:b/>
          <w:sz w:val="44"/>
        </w:rPr>
        <w:t>第一章  公开招标公告</w:t>
      </w:r>
      <w:bookmarkEnd w:id="4"/>
      <w:r>
        <w:rPr>
          <w:rFonts w:hint="eastAsia" w:ascii="黑体" w:hAnsi="黑体" w:eastAsia="黑体"/>
          <w:b/>
          <w:sz w:val="44"/>
          <w:lang w:eastAsia="zh-CN"/>
        </w:rPr>
        <w:t>（</w:t>
      </w:r>
      <w:r>
        <w:rPr>
          <w:rFonts w:hint="eastAsia" w:ascii="黑体" w:hAnsi="黑体" w:eastAsia="黑体"/>
          <w:b/>
          <w:sz w:val="44"/>
          <w:lang w:val="en-US" w:eastAsia="zh-CN"/>
        </w:rPr>
        <w:t>第二次）</w:t>
      </w:r>
    </w:p>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8"/>
        </w:rPr>
        <w:t>一、招标条件</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1.项目名称：厦门公交集团鹭驰交通有限公司</w:t>
      </w:r>
      <w:r>
        <w:rPr>
          <w:rFonts w:hint="eastAsia"/>
          <w:b w:val="0"/>
          <w:sz w:val="24"/>
          <w:lang w:val="en-US" w:eastAsia="zh-CN"/>
        </w:rPr>
        <w:t>5</w:t>
      </w:r>
      <w:r>
        <w:rPr>
          <w:rFonts w:ascii="宋体" w:hAnsi="宋体" w:eastAsia="宋体"/>
          <w:b w:val="0"/>
          <w:sz w:val="24"/>
        </w:rPr>
        <w:t>台纯电动营运客车采购项目</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b w:val="0"/>
          <w:sz w:val="24"/>
          <w:highlight w:val="none"/>
          <w:lang w:eastAsia="zh-CN"/>
        </w:rPr>
      </w:pPr>
      <w:r>
        <w:rPr>
          <w:rFonts w:ascii="宋体" w:hAnsi="宋体" w:eastAsia="宋体"/>
          <w:b w:val="0"/>
          <w:sz w:val="24"/>
        </w:rPr>
        <w:t>2.招标编号：</w:t>
      </w:r>
      <w:r>
        <w:rPr>
          <w:rFonts w:hint="eastAsia"/>
          <w:b w:val="0"/>
          <w:sz w:val="24"/>
          <w:highlight w:val="none"/>
          <w:lang w:eastAsia="zh-CN"/>
        </w:rPr>
        <w:t>XMGJLCJT2026-JF001</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hint="eastAsia"/>
          <w:b w:val="0"/>
          <w:sz w:val="24"/>
          <w:highlight w:val="none"/>
          <w:lang w:val="en-US" w:eastAsia="zh-CN"/>
        </w:rPr>
        <w:t>3.</w:t>
      </w:r>
      <w:r>
        <w:rPr>
          <w:rFonts w:ascii="宋体" w:hAnsi="宋体" w:eastAsia="宋体"/>
          <w:b w:val="0"/>
          <w:sz w:val="24"/>
        </w:rPr>
        <w:t>资金来源：企业自筹，资金已足额落实，列入集团2026年度投资计划</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4.采购方式：公开招标，招标人自行组织采购</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hint="eastAsia"/>
          <w:b w:val="0"/>
          <w:sz w:val="24"/>
          <w:lang w:val="en-US" w:eastAsia="zh-CN"/>
        </w:rPr>
        <w:t>5</w:t>
      </w:r>
      <w:r>
        <w:rPr>
          <w:rFonts w:ascii="宋体" w:hAnsi="宋体" w:eastAsia="宋体"/>
          <w:b w:val="0"/>
          <w:sz w:val="24"/>
        </w:rPr>
        <w:t>.评标办法：综合评分法，总分100分（价格40分、技术40分、商务20分）</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8"/>
        </w:rPr>
        <w:t>二、项目概况、标段划分及控制价</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本项目分</w:t>
      </w:r>
      <w:r>
        <w:rPr>
          <w:rFonts w:hint="eastAsia"/>
          <w:b w:val="0"/>
          <w:sz w:val="24"/>
          <w:lang w:val="en-US" w:eastAsia="zh-CN"/>
        </w:rPr>
        <w:t>2</w:t>
      </w:r>
      <w:r>
        <w:rPr>
          <w:rFonts w:ascii="宋体" w:hAnsi="宋体" w:eastAsia="宋体"/>
          <w:b w:val="0"/>
          <w:sz w:val="24"/>
        </w:rPr>
        <w:t>个独立标段，投标人可兼投一个或</w:t>
      </w:r>
      <w:r>
        <w:rPr>
          <w:rFonts w:hint="eastAsia"/>
          <w:b w:val="0"/>
          <w:sz w:val="24"/>
          <w:lang w:val="en-US" w:eastAsia="zh-CN"/>
        </w:rPr>
        <w:t>两</w:t>
      </w:r>
      <w:r>
        <w:rPr>
          <w:rFonts w:ascii="宋体" w:hAnsi="宋体" w:eastAsia="宋体"/>
          <w:b w:val="0"/>
          <w:sz w:val="24"/>
        </w:rPr>
        <w:t>个标段，各标段独立评审、独立中标，不强制全投：</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1643"/>
        <w:gridCol w:w="908"/>
        <w:gridCol w:w="1417"/>
        <w:gridCol w:w="1417"/>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shd w:val="clear" w:color="auto" w:fill="FFFFFF" w:themeFill="background1"/>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标段</w:t>
            </w:r>
          </w:p>
        </w:tc>
        <w:tc>
          <w:tcPr>
            <w:tcW w:w="1643" w:type="dxa"/>
            <w:shd w:val="clear" w:color="auto" w:fill="FFFFFF" w:themeFill="background1"/>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采购车型</w:t>
            </w:r>
          </w:p>
        </w:tc>
        <w:tc>
          <w:tcPr>
            <w:tcW w:w="908" w:type="dxa"/>
            <w:shd w:val="clear" w:color="auto" w:fill="FFFFFF" w:themeFill="background1"/>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数量</w:t>
            </w:r>
          </w:p>
        </w:tc>
        <w:tc>
          <w:tcPr>
            <w:tcW w:w="1417" w:type="dxa"/>
            <w:shd w:val="clear" w:color="auto" w:fill="FFFFFF" w:themeFill="background1"/>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单台最高控制价（万元）</w:t>
            </w:r>
          </w:p>
        </w:tc>
        <w:tc>
          <w:tcPr>
            <w:tcW w:w="1417" w:type="dxa"/>
            <w:shd w:val="clear" w:color="auto" w:fill="FFFFFF" w:themeFill="background1"/>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标段总价上限（万元）</w:t>
            </w:r>
          </w:p>
        </w:tc>
        <w:tc>
          <w:tcPr>
            <w:tcW w:w="2268" w:type="dxa"/>
            <w:shd w:val="clear" w:color="auto" w:fill="FFFFFF" w:themeFill="background1"/>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业务用途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A标段</w:t>
            </w:r>
          </w:p>
        </w:tc>
        <w:tc>
          <w:tcPr>
            <w:tcW w:w="1643"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48座大型高一级纯电动营运客车</w:t>
            </w:r>
          </w:p>
        </w:tc>
        <w:tc>
          <w:tcPr>
            <w:tcW w:w="908"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4台</w:t>
            </w:r>
          </w:p>
        </w:tc>
        <w:tc>
          <w:tcPr>
            <w:tcW w:w="141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77.5</w:t>
            </w:r>
          </w:p>
        </w:tc>
        <w:tc>
          <w:tcPr>
            <w:tcW w:w="141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310</w:t>
            </w:r>
          </w:p>
        </w:tc>
        <w:tc>
          <w:tcPr>
            <w:tcW w:w="2268"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企业通勤班车、研学旅游包车、定制客运班线、会展大型团队运输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B标段</w:t>
            </w:r>
          </w:p>
        </w:tc>
        <w:tc>
          <w:tcPr>
            <w:tcW w:w="1643"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9座中级纯电动营运客车</w:t>
            </w:r>
          </w:p>
        </w:tc>
        <w:tc>
          <w:tcPr>
            <w:tcW w:w="908"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1台</w:t>
            </w:r>
          </w:p>
        </w:tc>
        <w:tc>
          <w:tcPr>
            <w:tcW w:w="141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16</w:t>
            </w:r>
          </w:p>
        </w:tc>
        <w:tc>
          <w:tcPr>
            <w:tcW w:w="141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16</w:t>
            </w:r>
          </w:p>
        </w:tc>
        <w:tc>
          <w:tcPr>
            <w:tcW w:w="2268"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短途小型包车、政企短途接待、校园通勤接驳</w:t>
            </w:r>
          </w:p>
        </w:tc>
      </w:tr>
    </w:tbl>
    <w:p>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ascii="宋体" w:hAnsi="宋体" w:eastAsia="宋体"/>
          <w:b w:val="0"/>
          <w:sz w:val="24"/>
        </w:rPr>
      </w:pPr>
    </w:p>
    <w:p>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pPr>
      <w:r>
        <w:rPr>
          <w:rFonts w:ascii="宋体" w:hAnsi="宋体" w:eastAsia="宋体"/>
          <w:b w:val="0"/>
          <w:sz w:val="24"/>
        </w:rPr>
        <w:t>项目总预算上限3</w:t>
      </w:r>
      <w:r>
        <w:rPr>
          <w:rFonts w:hint="eastAsia"/>
          <w:b w:val="0"/>
          <w:sz w:val="24"/>
          <w:lang w:val="en-US" w:eastAsia="zh-CN"/>
        </w:rPr>
        <w:t>26</w:t>
      </w:r>
      <w:r>
        <w:rPr>
          <w:rFonts w:ascii="宋体" w:hAnsi="宋体" w:eastAsia="宋体"/>
          <w:b w:val="0"/>
          <w:sz w:val="24"/>
        </w:rPr>
        <w:t>万元（不含车辆保险、上牌相关税费）。</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交付要求：合同签订后</w:t>
      </w:r>
      <w:r>
        <w:rPr>
          <w:rFonts w:hint="eastAsia"/>
          <w:b w:val="0"/>
          <w:sz w:val="24"/>
          <w:lang w:val="en-US" w:eastAsia="zh-CN"/>
        </w:rPr>
        <w:t>45日历日</w:t>
      </w:r>
      <w:r>
        <w:rPr>
          <w:rFonts w:ascii="宋体" w:hAnsi="宋体" w:eastAsia="宋体"/>
          <w:b w:val="0"/>
          <w:sz w:val="24"/>
        </w:rPr>
        <w:t>内完成全部完成全部车辆交付、</w:t>
      </w:r>
      <w:r>
        <w:rPr>
          <w:rFonts w:hint="eastAsia"/>
          <w:b w:val="0"/>
          <w:sz w:val="24"/>
          <w:lang w:eastAsia="zh-CN"/>
        </w:rPr>
        <w:t>车辆注册登记</w:t>
      </w:r>
      <w:r>
        <w:rPr>
          <w:rFonts w:ascii="宋体" w:hAnsi="宋体" w:eastAsia="宋体"/>
          <w:b w:val="0"/>
          <w:sz w:val="24"/>
        </w:rPr>
        <w:t>、营运资质核验，具备完整运营条件；交付地点为厦门市招标人指定场站。</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8"/>
        </w:rPr>
        <w:t>三、投标人资格要求（资格后审，缺一无效）</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1.主体资格：中华人民共和国境内独立法人，持有有效营业执照，经营范围含客车生产或销售；不接受自然人、联合体投标。</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2.产品资质：所投车型列入工信部《道路机动车辆生产企业及产品公告》。</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3.授权要求：投标人为整车生产厂商，或持有生产厂家出具本项目唯一一级授权书（授权期限覆盖招标、供货、质保全周期）。</w:t>
      </w:r>
    </w:p>
    <w:p>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4.财务信誉：近三年无重大违法经营、失信记录；</w:t>
      </w:r>
      <w:r>
        <w:rPr>
          <w:rFonts w:hint="eastAsia" w:ascii="宋体" w:hAnsi="宋体" w:eastAsia="宋体" w:cs="宋体"/>
          <w:b w:val="0"/>
          <w:sz w:val="24"/>
        </w:rPr>
        <w:t>“</w:t>
      </w:r>
      <w:r>
        <w:rPr>
          <w:rFonts w:ascii="宋体" w:hAnsi="宋体" w:eastAsia="宋体"/>
          <w:b w:val="0"/>
          <w:sz w:val="24"/>
        </w:rPr>
        <w:t>信用中国</w:t>
      </w:r>
      <w:r>
        <w:rPr>
          <w:rFonts w:hint="default" w:ascii="宋体" w:hAnsi="宋体" w:eastAsia="宋体"/>
          <w:b w:val="0"/>
          <w:sz w:val="24"/>
          <w:lang w:val="en-US" w:eastAsia="zh-CN"/>
        </w:rPr>
        <w:t>”</w:t>
      </w:r>
      <w:r>
        <w:rPr>
          <w:rFonts w:ascii="宋体" w:hAnsi="宋体" w:eastAsia="宋体"/>
          <w:b w:val="0"/>
          <w:sz w:val="24"/>
        </w:rPr>
        <w:t>网站无失信查询截图；具备健全财务制度，可提供近一年财务报表。</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5.售后能力：在福建省内设立官方授权售后服务网点，提供网点地址、维保人员、救援服务承诺；承诺7×24小时道路救援。</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6.无违规声明：近三年不存在车辆造假、虚假宣传、重大质量赔偿、招投标违法记录，提供书面承诺。</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rPr>
          <w:rFonts w:hint="eastAsia" w:ascii="黑体" w:hAnsi="黑体" w:eastAsia="黑体"/>
          <w:b/>
          <w:sz w:val="28"/>
        </w:rPr>
      </w:pPr>
      <w:r>
        <w:rPr>
          <w:rFonts w:ascii="黑体" w:hAnsi="黑体" w:eastAsia="黑体"/>
          <w:b/>
          <w:sz w:val="28"/>
        </w:rPr>
        <w:t>四、招标文件获取</w:t>
      </w:r>
      <w:r>
        <w:rPr>
          <w:rFonts w:hint="eastAsia" w:ascii="黑体" w:hAnsi="黑体" w:eastAsia="黑体"/>
          <w:b/>
          <w:sz w:val="28"/>
        </w:rPr>
        <w:t>时间、方式</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eastAsia="zh-CN"/>
        </w:rPr>
      </w:pPr>
      <w:r>
        <w:rPr>
          <w:rFonts w:hint="eastAsia" w:ascii="宋体" w:hAnsi="宋体" w:eastAsia="宋体"/>
          <w:b w:val="0"/>
          <w:sz w:val="24"/>
          <w:lang w:val="en-US" w:eastAsia="zh-CN"/>
        </w:rPr>
        <w:t>1.</w:t>
      </w:r>
      <w:r>
        <w:rPr>
          <w:rFonts w:hint="eastAsia" w:ascii="宋体" w:hAnsi="宋体" w:eastAsia="宋体"/>
          <w:b w:val="0"/>
          <w:sz w:val="24"/>
        </w:rPr>
        <w:t>从公告发布之日起在</w:t>
      </w:r>
      <w:r>
        <w:rPr>
          <w:rFonts w:hint="eastAsia"/>
          <w:b w:val="0"/>
          <w:sz w:val="24"/>
          <w:lang w:eastAsia="zh-CN"/>
        </w:rPr>
        <w:t>厦门市人民政府国有资产监督管理委员会</w:t>
      </w:r>
      <w:r>
        <w:rPr>
          <w:rFonts w:hint="eastAsia" w:ascii="宋体" w:hAnsi="宋体" w:eastAsia="宋体"/>
          <w:b w:val="0"/>
          <w:sz w:val="24"/>
        </w:rPr>
        <w:t>（http://gzw.xm.gov.cn）</w:t>
      </w:r>
      <w:r>
        <w:rPr>
          <w:rFonts w:hint="eastAsia" w:ascii="宋体" w:hAnsi="宋体" w:eastAsia="宋体"/>
          <w:b w:val="0"/>
          <w:sz w:val="24"/>
          <w:lang w:eastAsia="zh-CN"/>
        </w:rPr>
        <w:t>、</w:t>
      </w:r>
      <w:r>
        <w:rPr>
          <w:rFonts w:hint="eastAsia" w:ascii="宋体" w:hAnsi="宋体" w:eastAsia="宋体"/>
          <w:b w:val="0"/>
          <w:sz w:val="24"/>
        </w:rPr>
        <w:t>厦门公交集团(https://www.xmbus.com)招租招标专区发布的公告附件中自行下载招标文件</w:t>
      </w:r>
      <w:r>
        <w:rPr>
          <w:rFonts w:hint="eastAsia" w:ascii="宋体" w:hAnsi="宋体" w:eastAsia="宋体"/>
          <w:b w:val="0"/>
          <w:sz w:val="24"/>
          <w:lang w:eastAsia="zh-CN"/>
        </w:rPr>
        <w:t>。</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2.招标文件售价：人民币0元/份。</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ascii="宋体" w:hAnsi="宋体" w:eastAsia="宋体"/>
          <w:b w:val="0"/>
          <w:sz w:val="24"/>
        </w:rPr>
      </w:pPr>
      <w:r>
        <w:rPr>
          <w:rFonts w:hint="eastAsia" w:ascii="宋体" w:hAnsi="宋体" w:eastAsia="宋体"/>
          <w:b w:val="0"/>
          <w:sz w:val="24"/>
          <w:lang w:val="en-US" w:eastAsia="zh-CN"/>
        </w:rPr>
        <w:t>3</w:t>
      </w:r>
      <w:r>
        <w:rPr>
          <w:rFonts w:ascii="宋体" w:hAnsi="宋体" w:eastAsia="宋体"/>
          <w:b w:val="0"/>
          <w:sz w:val="24"/>
        </w:rPr>
        <w:t>.澄清答疑：投标人需在投标截止10个工作日前书面提交疑问，招标人统一书面回复全部潜在投标人。</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8"/>
        </w:rPr>
        <w:t>五、投标及开标安排</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2"/>
      </w:pPr>
      <w:r>
        <w:rPr>
          <w:rFonts w:ascii="宋体" w:hAnsi="宋体" w:eastAsia="宋体"/>
          <w:b w:val="0"/>
          <w:sz w:val="24"/>
        </w:rPr>
        <w:t>1.投标文件递交截止时间：</w:t>
      </w:r>
      <w:r>
        <w:rPr>
          <w:rFonts w:hint="eastAsia"/>
          <w:b w:val="0"/>
          <w:sz w:val="24"/>
          <w:lang w:eastAsia="zh-CN"/>
        </w:rPr>
        <w:t>2026年</w:t>
      </w:r>
      <w:r>
        <w:rPr>
          <w:rFonts w:hint="eastAsia"/>
          <w:b w:val="0"/>
          <w:sz w:val="24"/>
          <w:lang w:val="en-US" w:eastAsia="zh-CN"/>
        </w:rPr>
        <w:t>10</w:t>
      </w:r>
      <w:r>
        <w:rPr>
          <w:rFonts w:hint="eastAsia"/>
          <w:b w:val="0"/>
          <w:sz w:val="24"/>
          <w:lang w:eastAsia="zh-CN"/>
        </w:rPr>
        <w:t>月</w:t>
      </w:r>
      <w:r>
        <w:rPr>
          <w:rFonts w:hint="eastAsia"/>
          <w:b w:val="0"/>
          <w:sz w:val="24"/>
          <w:lang w:val="en-US" w:eastAsia="zh-CN"/>
        </w:rPr>
        <w:t>20</w:t>
      </w:r>
      <w:r>
        <w:rPr>
          <w:rFonts w:hint="eastAsia"/>
          <w:b w:val="0"/>
          <w:sz w:val="24"/>
          <w:lang w:eastAsia="zh-CN"/>
        </w:rPr>
        <w:t>日</w:t>
      </w:r>
      <w:r>
        <w:rPr>
          <w:rFonts w:ascii="宋体" w:hAnsi="宋体" w:eastAsia="宋体"/>
          <w:b w:val="0"/>
          <w:sz w:val="24"/>
        </w:rPr>
        <w:t>9:00（北京时间），逾期拒收</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2"/>
        <w:rPr>
          <w:rFonts w:hint="default"/>
          <w:b w:val="0"/>
          <w:sz w:val="24"/>
          <w:lang w:val="en-US" w:eastAsia="zh-CN"/>
        </w:rPr>
      </w:pPr>
      <w:r>
        <w:rPr>
          <w:rFonts w:ascii="宋体" w:hAnsi="宋体" w:eastAsia="宋体"/>
          <w:b w:val="0"/>
          <w:sz w:val="24"/>
        </w:rPr>
        <w:t>2.递交地点：</w:t>
      </w:r>
      <w:bookmarkStart w:id="5" w:name="OLE_LINK1"/>
      <w:r>
        <w:rPr>
          <w:rFonts w:ascii="宋体" w:hAnsi="宋体" w:eastAsia="宋体"/>
          <w:b w:val="0"/>
          <w:sz w:val="24"/>
        </w:rPr>
        <w:t>厦门市</w:t>
      </w:r>
      <w:r>
        <w:rPr>
          <w:rFonts w:hint="eastAsia"/>
          <w:b w:val="0"/>
          <w:sz w:val="24"/>
          <w:lang w:val="en-US" w:eastAsia="zh-CN"/>
        </w:rPr>
        <w:t>思明区莲岳路221</w:t>
      </w:r>
      <w:r>
        <w:rPr>
          <w:rFonts w:ascii="宋体" w:hAnsi="宋体" w:eastAsia="宋体"/>
          <w:b w:val="0"/>
          <w:sz w:val="24"/>
        </w:rPr>
        <w:t>号</w:t>
      </w:r>
      <w:r>
        <w:rPr>
          <w:rFonts w:hint="eastAsia"/>
          <w:b w:val="0"/>
          <w:sz w:val="24"/>
          <w:lang w:eastAsia="zh-CN"/>
        </w:rPr>
        <w:t>（</w:t>
      </w:r>
      <w:r>
        <w:rPr>
          <w:rFonts w:hint="eastAsia"/>
          <w:b w:val="0"/>
          <w:sz w:val="24"/>
          <w:lang w:val="en-US" w:eastAsia="zh-CN"/>
        </w:rPr>
        <w:t>公交大厦）C栋703室（综合办公室）</w:t>
      </w:r>
      <w:bookmarkEnd w:id="5"/>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2"/>
      </w:pPr>
      <w:r>
        <w:rPr>
          <w:rFonts w:ascii="宋体" w:hAnsi="宋体" w:eastAsia="宋体"/>
          <w:b w:val="0"/>
          <w:sz w:val="24"/>
        </w:rPr>
        <w:t>3.开标时间：</w:t>
      </w:r>
      <w:r>
        <w:rPr>
          <w:rFonts w:hint="eastAsia"/>
          <w:b w:val="0"/>
          <w:sz w:val="24"/>
          <w:lang w:eastAsia="zh-CN"/>
        </w:rPr>
        <w:t>2026年</w:t>
      </w:r>
      <w:r>
        <w:rPr>
          <w:rFonts w:hint="eastAsia"/>
          <w:b w:val="0"/>
          <w:sz w:val="24"/>
          <w:lang w:val="en-US" w:eastAsia="zh-CN"/>
        </w:rPr>
        <w:t>10</w:t>
      </w:r>
      <w:r>
        <w:rPr>
          <w:rFonts w:hint="eastAsia"/>
          <w:b w:val="0"/>
          <w:sz w:val="24"/>
          <w:lang w:eastAsia="zh-CN"/>
        </w:rPr>
        <w:t>月</w:t>
      </w:r>
      <w:r>
        <w:rPr>
          <w:rFonts w:hint="eastAsia"/>
          <w:b w:val="0"/>
          <w:sz w:val="24"/>
          <w:lang w:val="en-US" w:eastAsia="zh-CN"/>
        </w:rPr>
        <w:t>20</w:t>
      </w:r>
      <w:r>
        <w:rPr>
          <w:rFonts w:hint="eastAsia"/>
          <w:b w:val="0"/>
          <w:sz w:val="24"/>
          <w:lang w:eastAsia="zh-CN"/>
        </w:rPr>
        <w:t>日</w:t>
      </w:r>
      <w:r>
        <w:rPr>
          <w:rFonts w:ascii="宋体" w:hAnsi="宋体" w:eastAsia="宋体"/>
          <w:b w:val="0"/>
          <w:sz w:val="24"/>
        </w:rPr>
        <w:t>9:30</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2"/>
      </w:pPr>
      <w:r>
        <w:rPr>
          <w:rFonts w:ascii="宋体" w:hAnsi="宋体" w:eastAsia="宋体"/>
          <w:b w:val="0"/>
          <w:sz w:val="24"/>
        </w:rPr>
        <w:t>4.开标地点：厦门市</w:t>
      </w:r>
      <w:r>
        <w:rPr>
          <w:rFonts w:hint="eastAsia"/>
          <w:b w:val="0"/>
          <w:sz w:val="24"/>
          <w:lang w:val="en-US" w:eastAsia="zh-CN"/>
        </w:rPr>
        <w:t>思明区莲岳路221</w:t>
      </w:r>
      <w:r>
        <w:rPr>
          <w:rFonts w:ascii="宋体" w:hAnsi="宋体" w:eastAsia="宋体"/>
          <w:b w:val="0"/>
          <w:sz w:val="24"/>
        </w:rPr>
        <w:t>号</w:t>
      </w:r>
      <w:r>
        <w:rPr>
          <w:rFonts w:hint="eastAsia"/>
          <w:b w:val="0"/>
          <w:sz w:val="24"/>
          <w:lang w:eastAsia="zh-CN"/>
        </w:rPr>
        <w:t>（</w:t>
      </w:r>
      <w:r>
        <w:rPr>
          <w:rFonts w:hint="eastAsia"/>
          <w:b w:val="0"/>
          <w:sz w:val="24"/>
          <w:lang w:val="en-US" w:eastAsia="zh-CN"/>
        </w:rPr>
        <w:t>公交大厦）C栋7</w:t>
      </w:r>
      <w:r>
        <w:rPr>
          <w:rFonts w:ascii="宋体" w:hAnsi="宋体" w:eastAsia="宋体"/>
          <w:b w:val="0"/>
          <w:sz w:val="24"/>
        </w:rPr>
        <w:t>楼会议室</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2"/>
        <w:rPr>
          <w:rFonts w:ascii="宋体" w:hAnsi="宋体" w:eastAsia="宋体"/>
          <w:b w:val="0"/>
          <w:sz w:val="24"/>
        </w:rPr>
      </w:pPr>
      <w:r>
        <w:rPr>
          <w:rFonts w:ascii="宋体" w:hAnsi="宋体" w:eastAsia="宋体"/>
          <w:b w:val="0"/>
          <w:sz w:val="24"/>
        </w:rPr>
        <w:t>5.投标保证金：各标段单独缴纳，投标截止前对公转账，未到账视为无效投标</w:t>
      </w:r>
    </w:p>
    <w:p>
      <w:pPr>
        <w:pStyle w:val="2"/>
      </w:pP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1432"/>
        <w:gridCol w:w="1970"/>
        <w:gridCol w:w="1701"/>
        <w:gridCol w:w="21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标段</w:t>
            </w:r>
          </w:p>
        </w:tc>
        <w:tc>
          <w:tcPr>
            <w:tcW w:w="143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hint="eastAsia" w:ascii="黑体" w:hAnsi="黑体" w:eastAsia="黑体"/>
                <w:b/>
                <w:sz w:val="21"/>
                <w:lang w:val="en-US" w:eastAsia="zh-CN"/>
              </w:rPr>
              <w:t>投标</w:t>
            </w:r>
            <w:r>
              <w:rPr>
                <w:rFonts w:ascii="黑体" w:hAnsi="黑体" w:eastAsia="黑体"/>
                <w:b/>
                <w:sz w:val="21"/>
              </w:rPr>
              <w:t>保证金金额</w:t>
            </w:r>
          </w:p>
        </w:tc>
        <w:tc>
          <w:tcPr>
            <w:tcW w:w="197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收款单位</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开户行</w:t>
            </w:r>
          </w:p>
        </w:tc>
        <w:tc>
          <w:tcPr>
            <w:tcW w:w="21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A标段</w:t>
            </w:r>
          </w:p>
        </w:tc>
        <w:tc>
          <w:tcPr>
            <w:tcW w:w="1432"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6.2万元</w:t>
            </w:r>
          </w:p>
        </w:tc>
        <w:tc>
          <w:tcPr>
            <w:tcW w:w="197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厦门公交集团鹭驰交通有限公司</w:t>
            </w:r>
          </w:p>
        </w:tc>
        <w:tc>
          <w:tcPr>
            <w:tcW w:w="1701"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兴业银行厦门分行营业部</w:t>
            </w:r>
          </w:p>
        </w:tc>
        <w:tc>
          <w:tcPr>
            <w:tcW w:w="2106"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129680100100222134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B标段</w:t>
            </w:r>
          </w:p>
        </w:tc>
        <w:tc>
          <w:tcPr>
            <w:tcW w:w="1432"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0.32万元</w:t>
            </w:r>
          </w:p>
        </w:tc>
        <w:tc>
          <w:tcPr>
            <w:tcW w:w="197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厦门公交集团鹭驰交通有限公司</w:t>
            </w:r>
          </w:p>
        </w:tc>
        <w:tc>
          <w:tcPr>
            <w:tcW w:w="1701"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兴业银行厦门分行营业部</w:t>
            </w:r>
          </w:p>
        </w:tc>
        <w:tc>
          <w:tcPr>
            <w:tcW w:w="2106"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129680100100222134</w:t>
            </w:r>
          </w:p>
        </w:tc>
      </w:tr>
    </w:tbl>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ascii="黑体" w:hAnsi="黑体" w:eastAsia="黑体"/>
          <w:b/>
          <w:sz w:val="28"/>
        </w:rPr>
      </w:pP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8"/>
        </w:rPr>
        <w:t>六、公告发布媒介</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bookmarkStart w:id="6" w:name="_Toc26251"/>
      <w:r>
        <w:rPr>
          <w:rFonts w:hint="eastAsia"/>
          <w:b w:val="0"/>
          <w:sz w:val="24"/>
          <w:lang w:eastAsia="zh-CN"/>
        </w:rPr>
        <w:t>厦门市人民政府国有资产监督管理委员会</w:t>
      </w:r>
      <w:r>
        <w:rPr>
          <w:rFonts w:hint="eastAsia" w:ascii="宋体" w:hAnsi="宋体" w:eastAsia="宋体"/>
          <w:b w:val="0"/>
          <w:sz w:val="24"/>
        </w:rPr>
        <w:t>（http://gzw.xm.gov.cn）</w:t>
      </w:r>
      <w:r>
        <w:rPr>
          <w:rFonts w:hint="eastAsia" w:ascii="宋体" w:hAnsi="宋体" w:eastAsia="宋体"/>
          <w:b w:val="0"/>
          <w:sz w:val="24"/>
          <w:lang w:eastAsia="zh-CN"/>
        </w:rPr>
        <w:t>、</w:t>
      </w:r>
      <w:r>
        <w:rPr>
          <w:rFonts w:hint="eastAsia" w:ascii="宋体" w:hAnsi="宋体" w:eastAsia="宋体"/>
          <w:b w:val="0"/>
          <w:sz w:val="24"/>
        </w:rPr>
        <w:t>厦门公交集团(https://www.xmbus.com)招租招标专区发布的公告</w:t>
      </w:r>
      <w:r>
        <w:rPr>
          <w:rFonts w:hint="eastAsia"/>
          <w:b w:val="0"/>
          <w:sz w:val="24"/>
          <w:lang w:eastAsia="zh-CN"/>
        </w:rPr>
        <w:t>，</w:t>
      </w:r>
      <w:r>
        <w:rPr>
          <w:rFonts w:ascii="宋体" w:hAnsi="宋体" w:eastAsia="宋体"/>
          <w:b w:val="0"/>
          <w:sz w:val="24"/>
        </w:rPr>
        <w:t>公告期限</w:t>
      </w:r>
      <w:r>
        <w:rPr>
          <w:rFonts w:hint="eastAsia"/>
          <w:b w:val="0"/>
          <w:sz w:val="24"/>
          <w:lang w:val="en-US" w:eastAsia="zh-CN"/>
        </w:rPr>
        <w:t>20</w:t>
      </w:r>
      <w:r>
        <w:rPr>
          <w:rFonts w:ascii="宋体" w:hAnsi="宋体" w:eastAsia="宋体"/>
          <w:b w:val="0"/>
          <w:sz w:val="24"/>
        </w:rPr>
        <w:t>个</w:t>
      </w:r>
      <w:r>
        <w:rPr>
          <w:rFonts w:hint="eastAsia"/>
          <w:b w:val="0"/>
          <w:sz w:val="24"/>
          <w:lang w:val="en-US" w:eastAsia="zh-CN"/>
        </w:rPr>
        <w:t>日历日</w:t>
      </w:r>
      <w:r>
        <w:rPr>
          <w:rFonts w:ascii="宋体" w:hAnsi="宋体" w:eastAsia="宋体"/>
          <w:b w:val="0"/>
          <w:sz w:val="24"/>
        </w:rPr>
        <w:t>。</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8"/>
        </w:rPr>
        <w:t>七、联系方式</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default" w:eastAsia="宋体"/>
          <w:highlight w:val="none"/>
          <w:lang w:val="en-US" w:eastAsia="zh-CN"/>
        </w:rPr>
      </w:pPr>
      <w:r>
        <w:rPr>
          <w:rFonts w:ascii="宋体" w:hAnsi="宋体" w:eastAsia="宋体"/>
          <w:b w:val="0"/>
          <w:sz w:val="24"/>
          <w:highlight w:val="none"/>
        </w:rPr>
        <w:t>联系人：</w:t>
      </w:r>
      <w:r>
        <w:rPr>
          <w:rFonts w:hint="eastAsia"/>
          <w:b w:val="0"/>
          <w:sz w:val="24"/>
          <w:highlight w:val="none"/>
          <w:lang w:val="en-US" w:eastAsia="zh-CN"/>
        </w:rPr>
        <w:t>龚先生</w:t>
      </w:r>
      <w:r>
        <w:rPr>
          <w:rFonts w:ascii="宋体" w:hAnsi="宋体" w:eastAsia="宋体"/>
          <w:b w:val="0"/>
          <w:sz w:val="24"/>
          <w:highlight w:val="none"/>
        </w:rPr>
        <w:t xml:space="preserve">  联系电话：</w:t>
      </w:r>
      <w:r>
        <w:rPr>
          <w:rFonts w:hint="eastAsia"/>
          <w:b w:val="0"/>
          <w:sz w:val="24"/>
          <w:highlight w:val="none"/>
          <w:lang w:val="en-US" w:eastAsia="zh-CN"/>
        </w:rPr>
        <w:t>13806089134</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b w:val="0"/>
          <w:sz w:val="24"/>
          <w:highlight w:val="none"/>
          <w:lang w:val="en-US" w:eastAsia="zh-CN"/>
        </w:rPr>
      </w:pPr>
      <w:r>
        <w:rPr>
          <w:rFonts w:ascii="宋体" w:hAnsi="宋体" w:eastAsia="宋体"/>
          <w:b w:val="0"/>
          <w:sz w:val="24"/>
          <w:highlight w:val="none"/>
        </w:rPr>
        <w:t>联系地址：厦门市</w:t>
      </w:r>
      <w:r>
        <w:rPr>
          <w:rFonts w:hint="eastAsia"/>
          <w:b w:val="0"/>
          <w:sz w:val="24"/>
          <w:highlight w:val="none"/>
          <w:lang w:val="en-US" w:eastAsia="zh-CN"/>
        </w:rPr>
        <w:t>思明区莲岳路221</w:t>
      </w:r>
      <w:r>
        <w:rPr>
          <w:rFonts w:ascii="宋体" w:hAnsi="宋体" w:eastAsia="宋体"/>
          <w:b w:val="0"/>
          <w:sz w:val="24"/>
          <w:highlight w:val="none"/>
        </w:rPr>
        <w:t>号</w:t>
      </w:r>
      <w:r>
        <w:rPr>
          <w:rFonts w:hint="eastAsia"/>
          <w:b w:val="0"/>
          <w:sz w:val="24"/>
          <w:highlight w:val="none"/>
          <w:lang w:eastAsia="zh-CN"/>
        </w:rPr>
        <w:t>（</w:t>
      </w:r>
      <w:r>
        <w:rPr>
          <w:rFonts w:hint="eastAsia"/>
          <w:b w:val="0"/>
          <w:sz w:val="24"/>
          <w:highlight w:val="none"/>
          <w:lang w:val="en-US" w:eastAsia="zh-CN"/>
        </w:rPr>
        <w:t>公交大厦）C栋703室（经营发展部）</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ascii="宋体" w:hAnsi="宋体" w:eastAsia="宋体"/>
          <w:b w:val="0"/>
          <w:sz w:val="24"/>
          <w:highlight w:val="none"/>
        </w:rPr>
      </w:pP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ascii="宋体" w:hAnsi="宋体" w:eastAsia="宋体"/>
          <w:b w:val="0"/>
          <w:sz w:val="24"/>
          <w:highlight w:val="none"/>
        </w:rPr>
      </w:pP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ascii="宋体" w:hAnsi="宋体" w:eastAsia="宋体"/>
          <w:b w:val="0"/>
          <w:sz w:val="24"/>
          <w:highlight w:val="none"/>
        </w:rPr>
      </w:pPr>
    </w:p>
    <w:p>
      <w:pPr>
        <w:keepNext w:val="0"/>
        <w:keepLines w:val="0"/>
        <w:pageBreakBefore w:val="0"/>
        <w:widowControl/>
        <w:kinsoku/>
        <w:wordWrap/>
        <w:overflowPunct/>
        <w:topLinePunct w:val="0"/>
        <w:autoSpaceDE/>
        <w:autoSpaceDN/>
        <w:bidi w:val="0"/>
        <w:adjustRightInd/>
        <w:snapToGrid/>
        <w:spacing w:after="0" w:line="360" w:lineRule="auto"/>
        <w:ind w:firstLine="4080" w:firstLineChars="1700"/>
        <w:textAlignment w:val="auto"/>
        <w:rPr>
          <w:highlight w:val="none"/>
        </w:rPr>
      </w:pPr>
      <w:r>
        <w:rPr>
          <w:rFonts w:ascii="宋体" w:hAnsi="宋体" w:eastAsia="宋体"/>
          <w:b w:val="0"/>
          <w:sz w:val="24"/>
          <w:highlight w:val="none"/>
        </w:rPr>
        <w:t>招标人：厦门公交集团鹭驰交通有限公司</w:t>
      </w:r>
    </w:p>
    <w:p>
      <w:pPr>
        <w:keepNext w:val="0"/>
        <w:keepLines w:val="0"/>
        <w:pageBreakBefore w:val="0"/>
        <w:widowControl/>
        <w:kinsoku/>
        <w:wordWrap/>
        <w:overflowPunct/>
        <w:topLinePunct w:val="0"/>
        <w:autoSpaceDE/>
        <w:autoSpaceDN/>
        <w:bidi w:val="0"/>
        <w:adjustRightInd/>
        <w:snapToGrid/>
        <w:spacing w:after="0" w:line="360" w:lineRule="auto"/>
        <w:ind w:firstLine="5460" w:firstLineChars="2275"/>
        <w:textAlignment w:val="auto"/>
        <w:rPr>
          <w:rFonts w:hint="default" w:eastAsia="宋体"/>
          <w:highlight w:val="none"/>
          <w:lang w:val="en-US" w:eastAsia="zh-CN"/>
        </w:rPr>
      </w:pPr>
      <w:r>
        <w:rPr>
          <w:rFonts w:ascii="宋体" w:hAnsi="宋体" w:eastAsia="宋体"/>
          <w:b w:val="0"/>
          <w:sz w:val="24"/>
          <w:highlight w:val="none"/>
        </w:rPr>
        <w:t>2026年</w:t>
      </w:r>
      <w:r>
        <w:rPr>
          <w:rFonts w:hint="eastAsia"/>
          <w:b w:val="0"/>
          <w:sz w:val="24"/>
          <w:highlight w:val="none"/>
          <w:lang w:val="en-US" w:eastAsia="zh-CN"/>
        </w:rPr>
        <w:t>9</w:t>
      </w:r>
      <w:r>
        <w:rPr>
          <w:rFonts w:ascii="宋体" w:hAnsi="宋体" w:eastAsia="宋体"/>
          <w:b w:val="0"/>
          <w:sz w:val="24"/>
          <w:highlight w:val="none"/>
        </w:rPr>
        <w:t>月</w:t>
      </w:r>
      <w:r>
        <w:rPr>
          <w:rFonts w:hint="eastAsia"/>
          <w:b w:val="0"/>
          <w:sz w:val="24"/>
          <w:highlight w:val="none"/>
          <w:lang w:val="en-US" w:eastAsia="zh-CN"/>
        </w:rPr>
        <w:t>30日</w:t>
      </w:r>
    </w:p>
    <w:p>
      <w:pPr>
        <w:jc w:val="center"/>
        <w:outlineLvl w:val="0"/>
        <w:rPr>
          <w:rFonts w:ascii="黑体" w:hAnsi="黑体" w:eastAsia="黑体"/>
          <w:b/>
          <w:sz w:val="44"/>
        </w:rPr>
      </w:pPr>
    </w:p>
    <w:p>
      <w:pPr>
        <w:jc w:val="center"/>
        <w:outlineLvl w:val="0"/>
        <w:rPr>
          <w:rFonts w:ascii="黑体" w:hAnsi="黑体" w:eastAsia="黑体"/>
          <w:b/>
          <w:sz w:val="44"/>
        </w:rPr>
      </w:pPr>
    </w:p>
    <w:p>
      <w:pPr>
        <w:jc w:val="center"/>
        <w:outlineLvl w:val="0"/>
        <w:rPr>
          <w:rFonts w:ascii="黑体" w:hAnsi="黑体" w:eastAsia="黑体"/>
          <w:b/>
          <w:sz w:val="44"/>
        </w:rPr>
      </w:pPr>
    </w:p>
    <w:p>
      <w:pPr>
        <w:jc w:val="center"/>
        <w:outlineLvl w:val="0"/>
        <w:rPr>
          <w:rFonts w:ascii="黑体" w:hAnsi="黑体" w:eastAsia="黑体"/>
          <w:b/>
          <w:sz w:val="44"/>
        </w:rPr>
      </w:pPr>
    </w:p>
    <w:p>
      <w:pPr>
        <w:jc w:val="center"/>
        <w:outlineLvl w:val="0"/>
        <w:rPr>
          <w:rFonts w:ascii="黑体" w:hAnsi="黑体" w:eastAsia="黑体"/>
          <w:b/>
          <w:sz w:val="44"/>
        </w:rPr>
      </w:pPr>
    </w:p>
    <w:p>
      <w:pPr>
        <w:jc w:val="center"/>
        <w:outlineLvl w:val="0"/>
        <w:rPr>
          <w:rFonts w:ascii="黑体" w:hAnsi="黑体" w:eastAsia="黑体"/>
          <w:b/>
          <w:sz w:val="44"/>
        </w:rPr>
      </w:pPr>
    </w:p>
    <w:p>
      <w:pPr>
        <w:jc w:val="center"/>
        <w:outlineLvl w:val="0"/>
      </w:pPr>
      <w:r>
        <w:rPr>
          <w:rFonts w:ascii="黑体" w:hAnsi="黑体" w:eastAsia="黑体"/>
          <w:b/>
          <w:sz w:val="44"/>
        </w:rPr>
        <w:t>第二章  投标人须知</w:t>
      </w:r>
      <w:bookmarkEnd w:id="6"/>
    </w:p>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8"/>
        </w:rPr>
        <w:t>A  总则</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2"/>
      </w:pPr>
      <w:r>
        <w:rPr>
          <w:rFonts w:ascii="黑体" w:hAnsi="黑体" w:eastAsia="黑体"/>
          <w:b/>
          <w:sz w:val="24"/>
        </w:rPr>
        <w:t>1  项目定义</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1.1 本招标文件适用于本次</w:t>
      </w:r>
      <w:r>
        <w:rPr>
          <w:rFonts w:hint="eastAsia"/>
          <w:b w:val="0"/>
          <w:sz w:val="24"/>
          <w:lang w:val="en-US" w:eastAsia="zh-CN"/>
        </w:rPr>
        <w:t>5</w:t>
      </w:r>
      <w:r>
        <w:rPr>
          <w:rFonts w:ascii="宋体" w:hAnsi="宋体" w:eastAsia="宋体"/>
          <w:b w:val="0"/>
          <w:sz w:val="24"/>
        </w:rPr>
        <w:t>台纯电动营运客车采购，招标、履约全过程遵循《招标投标法》、集团投资采购管理制度。</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1.2 名词释义：招标人（鹭驰交通）、投标人（供应商）、中标人（成交供应商）、货物（整车、随车工具、资料、质保服务）、标段（</w:t>
      </w:r>
      <w:r>
        <w:rPr>
          <w:rFonts w:hint="eastAsia"/>
          <w:b w:val="0"/>
          <w:sz w:val="24"/>
          <w:lang w:val="en-US" w:eastAsia="zh-CN"/>
        </w:rPr>
        <w:t>两</w:t>
      </w:r>
      <w:r>
        <w:rPr>
          <w:rFonts w:ascii="宋体" w:hAnsi="宋体" w:eastAsia="宋体"/>
          <w:b w:val="0"/>
          <w:sz w:val="24"/>
        </w:rPr>
        <w:t>个独立采购包）。</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1.3 资金：企业自筹，付款按合同节点按期支付，无资金垫付要求。</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2"/>
      </w:pPr>
      <w:r>
        <w:rPr>
          <w:rFonts w:ascii="黑体" w:hAnsi="黑体" w:eastAsia="黑体"/>
          <w:b/>
          <w:sz w:val="24"/>
        </w:rPr>
        <w:t>2  合格投标人</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2.1 完全满足招标公告全部资格条件，不存在单位负责人交叉控股、关联企业同时投同</w:t>
      </w:r>
      <w:r>
        <w:rPr>
          <w:rFonts w:hint="eastAsia"/>
          <w:b w:val="0"/>
          <w:sz w:val="24"/>
          <w:lang w:val="en-US" w:eastAsia="zh-CN"/>
        </w:rPr>
        <w:t>一</w:t>
      </w:r>
      <w:r>
        <w:rPr>
          <w:rFonts w:ascii="宋体" w:hAnsi="宋体" w:eastAsia="宋体"/>
          <w:b w:val="0"/>
          <w:sz w:val="24"/>
        </w:rPr>
        <w:t>标段情形。</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2.2 禁止挂靠、转包、代投，投标产品必须原厂全新整车，严禁改装、库存积压超12个月、事故/试验/翻新车。</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2.3 投标费用：所有文件制作、样品、差旅、检测费用由投标人自行承担，无论中标与否不予报销。</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2"/>
      </w:pPr>
      <w:r>
        <w:rPr>
          <w:rFonts w:ascii="黑体" w:hAnsi="黑体" w:eastAsia="黑体"/>
          <w:b/>
          <w:sz w:val="24"/>
        </w:rPr>
        <w:t>3  投标保证金</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3.1 缴纳要求：投标人对公账户转账，备注</w:t>
      </w:r>
      <w:r>
        <w:rPr>
          <w:rFonts w:hint="eastAsia"/>
          <w:b w:val="0"/>
          <w:sz w:val="24"/>
          <w:lang w:eastAsia="zh-CN"/>
        </w:rPr>
        <w:t>“</w:t>
      </w:r>
      <w:r>
        <w:rPr>
          <w:rFonts w:hint="eastAsia" w:ascii="宋体" w:hAnsi="宋体" w:eastAsia="宋体"/>
          <w:b w:val="0"/>
          <w:sz w:val="24"/>
        </w:rPr>
        <w:t>XMGJLCJT202</w:t>
      </w:r>
      <w:r>
        <w:rPr>
          <w:rFonts w:hint="eastAsia"/>
          <w:b w:val="0"/>
          <w:sz w:val="24"/>
          <w:lang w:val="en-US" w:eastAsia="zh-CN"/>
        </w:rPr>
        <w:t>6</w:t>
      </w:r>
      <w:r>
        <w:rPr>
          <w:rFonts w:hint="eastAsia" w:ascii="宋体" w:hAnsi="宋体" w:eastAsia="宋体"/>
          <w:b w:val="0"/>
          <w:sz w:val="24"/>
        </w:rPr>
        <w:t>-JF001</w:t>
      </w:r>
      <w:r>
        <w:rPr>
          <w:rFonts w:ascii="宋体" w:hAnsi="宋体" w:eastAsia="宋体"/>
          <w:b w:val="0"/>
          <w:sz w:val="24"/>
        </w:rPr>
        <w:t>+XX标段保证金</w:t>
      </w:r>
      <w:r>
        <w:rPr>
          <w:rFonts w:hint="eastAsia"/>
          <w:b w:val="0"/>
          <w:sz w:val="24"/>
          <w:lang w:eastAsia="zh-CN"/>
        </w:rPr>
        <w:t>”</w:t>
      </w:r>
      <w:r>
        <w:rPr>
          <w:rFonts w:ascii="宋体" w:hAnsi="宋体" w:eastAsia="宋体"/>
          <w:b w:val="0"/>
          <w:sz w:val="24"/>
        </w:rPr>
        <w:t>，截止前必须到账，不接受现金、个人转账。</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3.2 退还规则：未中标投标人，中标公示结束10个工作日无息退还；中标人签订合同、足额缴纳履约保证金后10个工作日无息退还。</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3.3 保证金没收情形（同时列入供应商黑名单，3年禁止参与本单位所有采购项目）：</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（1）投标有效期内撤回投标文件；（2）提供虚假资质、业绩、检测报告；（3）串通投标、恶意低价；（4）中标后逾期拒签合同；（5）中标后未按要求足额缴纳履约保证金。</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2"/>
      </w:pPr>
      <w:r>
        <w:rPr>
          <w:rFonts w:ascii="黑体" w:hAnsi="黑体" w:eastAsia="黑体"/>
          <w:b/>
          <w:sz w:val="24"/>
        </w:rPr>
        <w:t>4  履约保证金</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4.1 金额：各标段合同总价5%，签订采购合同当日对公转账至保证金账户。</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4.2 返还：整车质保期满，无质量违约、维保逾期、赔偿扣款，15个工作日无息全额返还；存在车辆故障逾期维修、批量质量缺陷、未履行售后承诺，招标人有权直接扣除保证金抵扣损失，不足部分另行追偿。</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8"/>
        </w:rPr>
        <w:t>B  招标文件</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2"/>
      </w:pPr>
      <w:r>
        <w:rPr>
          <w:rFonts w:ascii="黑体" w:hAnsi="黑体" w:eastAsia="黑体"/>
          <w:b/>
          <w:sz w:val="24"/>
        </w:rPr>
        <w:t>5  文件组成</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招标公告、投标人须知、评标办法、采购技术需求、合同草案、投标格式；招标人发布的澄清、补遗书与本文件具备同等法律效力。</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2"/>
      </w:pPr>
      <w:r>
        <w:rPr>
          <w:rFonts w:ascii="黑体" w:hAnsi="黑体" w:eastAsia="黑体"/>
          <w:b/>
          <w:sz w:val="24"/>
        </w:rPr>
        <w:t>6  文件澄清与修改</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6.1 投标人疑问须书面（邮件+纸质）提交，招标人统一书面答复所有已领文件供应商，不单独答疑。</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6.2 招标截止前，招标人可主动修改招标文件，书面通知全部潜在投标人；修改内容影响投标准备的，可顺延投标截止时间并公告。</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6.3 投标人未关注补遗书、澄清文件，产生的不利后果自行承担。</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8"/>
        </w:rPr>
        <w:t>C  投标文件编制</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2"/>
      </w:pPr>
      <w:r>
        <w:rPr>
          <w:rFonts w:ascii="黑体" w:hAnsi="黑体" w:eastAsia="黑体"/>
          <w:b/>
          <w:sz w:val="24"/>
        </w:rPr>
        <w:t>7  投标有效期</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自投标截止之日起90个日历日，有效期内投标报价、全部承诺不得变更。</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2"/>
      </w:pPr>
      <w:r>
        <w:rPr>
          <w:rFonts w:ascii="黑体" w:hAnsi="黑体" w:eastAsia="黑体"/>
          <w:b/>
          <w:sz w:val="24"/>
        </w:rPr>
        <w:t>8  文件组成（分三大部分，分开装订）</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sz w:val="24"/>
          <w:highlight w:val="none"/>
        </w:rPr>
        <w:t>8.1 资格文件（废标项，缺任一材料无效）：</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1）投标函；2）法人身份证明+授权委托书（非法人到场）；3）营业执照复印件；4）车型公告证明；5）厂家一级授权书（经销商投标）；6）近三年无重大违法书面声明；7）信用查询截图；8）近一年财务报表；</w:t>
      </w:r>
      <w:r>
        <w:rPr>
          <w:rFonts w:hint="eastAsia"/>
          <w:b w:val="0"/>
          <w:sz w:val="24"/>
          <w:highlight w:val="none"/>
          <w:lang w:val="en-US" w:eastAsia="zh-CN"/>
        </w:rPr>
        <w:t>9</w:t>
      </w:r>
      <w:r>
        <w:rPr>
          <w:rFonts w:ascii="宋体" w:hAnsi="宋体" w:eastAsia="宋体"/>
          <w:b w:val="0"/>
          <w:sz w:val="24"/>
          <w:highlight w:val="none"/>
        </w:rPr>
        <w:t>）保证金转账凭证复印件。</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sz w:val="24"/>
        </w:rPr>
        <w:t>8.2 技术文件（★条款负偏离直接废标）：</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1）技术参数响应偏离表；2）整车3C、营运等级评定证书；3）三电系统检测报告；4）质量保证承诺书；5）完整售后服务方案（响应时效、备件库存、驻场维保、年度巡检）；6）整车质保、三电质保专项承诺</w:t>
      </w:r>
      <w:r>
        <w:rPr>
          <w:rFonts w:hint="eastAsia"/>
          <w:b w:val="0"/>
          <w:sz w:val="24"/>
          <w:lang w:eastAsia="zh-CN"/>
        </w:rPr>
        <w:t>；</w:t>
      </w:r>
      <w:r>
        <w:rPr>
          <w:rFonts w:hint="eastAsia"/>
          <w:b w:val="0"/>
          <w:sz w:val="24"/>
          <w:lang w:val="en-US" w:eastAsia="zh-CN"/>
        </w:rPr>
        <w:t>7）</w:t>
      </w:r>
      <w:r>
        <w:rPr>
          <w:rFonts w:ascii="宋体" w:hAnsi="宋体" w:eastAsia="宋体"/>
          <w:b w:val="0"/>
          <w:sz w:val="24"/>
        </w:rPr>
        <w:t>福建本地售后网点证明；</w:t>
      </w:r>
      <w:r>
        <w:rPr>
          <w:rFonts w:hint="eastAsia"/>
          <w:b w:val="0"/>
          <w:sz w:val="24"/>
          <w:lang w:val="en-US" w:eastAsia="zh-CN"/>
        </w:rPr>
        <w:t>8</w:t>
      </w:r>
      <w:r>
        <w:rPr>
          <w:rFonts w:ascii="宋体" w:hAnsi="宋体" w:eastAsia="宋体"/>
          <w:b w:val="0"/>
          <w:sz w:val="24"/>
        </w:rPr>
        <w:t>）商务业绩表（近三年同类客运车辆供货合同）。</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sz w:val="24"/>
        </w:rPr>
        <w:t>8.3 商务报价文件（单独密封，一式4份）：</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1）标段报价一览表；2）分项成本明细（车辆、税费、运输、</w:t>
      </w:r>
      <w:r>
        <w:rPr>
          <w:rFonts w:hint="eastAsia"/>
          <w:b w:val="0"/>
          <w:sz w:val="24"/>
          <w:lang w:eastAsia="zh-CN"/>
        </w:rPr>
        <w:t>车辆注册登记</w:t>
      </w:r>
      <w:r>
        <w:rPr>
          <w:rFonts w:ascii="宋体" w:hAnsi="宋体" w:eastAsia="宋体"/>
          <w:b w:val="0"/>
          <w:sz w:val="24"/>
        </w:rPr>
        <w:t>、质保维保）。</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2"/>
      </w:pPr>
      <w:r>
        <w:rPr>
          <w:rFonts w:ascii="黑体" w:hAnsi="黑体" w:eastAsia="黑体"/>
          <w:b/>
          <w:sz w:val="24"/>
        </w:rPr>
        <w:t>9  编制、密封、份数要求</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9.1 全部中文，计量单位为国标，复印件加盖投标人公章，修改处需授权代表签字盖章。</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9.2 份数：正本1份、副本3份，正副本分开密封；报价表单独小信封密封，并入正本袋；密封袋标注项目名称、标段、投标人名称、正/副本，加盖单位公章。</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ascii="宋体" w:hAnsi="宋体" w:eastAsia="宋体"/>
          <w:b w:val="0"/>
          <w:sz w:val="24"/>
        </w:rPr>
      </w:pPr>
      <w:r>
        <w:rPr>
          <w:rFonts w:ascii="宋体" w:hAnsi="宋体" w:eastAsia="宋体"/>
          <w:b w:val="0"/>
          <w:sz w:val="24"/>
        </w:rPr>
        <w:t>9.3 报价要求：包干含税总价，包含整车、运输、随车工具、资料、质保培训、上牌协助等全部费用，招标人无额外付费；单台/标段总价超过控制价，该标段投标直接无效。</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8"/>
        </w:rPr>
        <w:t>D  递交、修改、撤回</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10.1 截止时间后送达、递交地点错误、密封破损，招标人直接拒收。</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10.2 截止前可书面修改/撤回投标文件；截止后、开标前不得撤回，开标后撤标没收保证金。</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8"/>
        </w:rPr>
        <w:t>E  开标、评审通用规则</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11. 开标流程：监督人员到场查验密封→当众拆封报价文件→宣读投标人、标段报价、保证金缴纳情况；投标文件正本留存，副本备查。</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12. 算术错误修正规则：大写与小写不一致以大写为准；分项合计与总价不一致以分项累加为准；投标人不接受修正，该标段投标作废。</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13. 询标澄清：</w:t>
      </w:r>
      <w:r>
        <w:rPr>
          <w:rFonts w:hint="eastAsia"/>
          <w:b w:val="0"/>
          <w:sz w:val="24"/>
          <w:lang w:eastAsia="zh-CN"/>
        </w:rPr>
        <w:t>评标小组</w:t>
      </w:r>
      <w:r>
        <w:rPr>
          <w:rFonts w:ascii="宋体" w:hAnsi="宋体" w:eastAsia="宋体"/>
          <w:b w:val="0"/>
          <w:sz w:val="24"/>
        </w:rPr>
        <w:t>仅可书面询问模糊内容，投标人澄清不得修改报价、技术实质性承诺；澄清文件作为投标文件组成部分。</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14. 废标通用情形（重大偏差，任一满足直接判定该标段投标无效）：</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（1）未按招标文件要求提交投标保证金或提供的投标保证金有瑕疵的；</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（2）投标文件未经投标单位盖章和投标人法定代表人（单位负责人）或其授权代表签字或盖章的；</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（3）未提供投标人法定代表人身份证明、法定代表人身份证、针对本次招标的法定代表人授权书及授权代表身份证明的；</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（4）投标人若为代理商或经销商，未提供生产厂家针对本项目的有效授权书或承诺书的；</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（5）未提供所投车辆的工信部《道路机动车辆生产企业及产品公告》目录复印件的；</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（6）未提供</w:t>
      </w:r>
      <w:r>
        <w:rPr>
          <w:rFonts w:hint="eastAsia"/>
          <w:b w:val="0"/>
          <w:sz w:val="24"/>
          <w:lang w:eastAsia="zh-CN"/>
        </w:rPr>
        <w:t>“</w:t>
      </w:r>
      <w:r>
        <w:rPr>
          <w:rFonts w:ascii="宋体" w:hAnsi="宋体" w:eastAsia="宋体"/>
          <w:b w:val="0"/>
          <w:sz w:val="24"/>
        </w:rPr>
        <w:t>能够提供公安车辆管理部门落户上牌所需的一切资料，确保所投车辆能够在使用地上牌</w:t>
      </w:r>
      <w:r>
        <w:rPr>
          <w:rFonts w:hint="eastAsia"/>
          <w:b w:val="0"/>
          <w:sz w:val="24"/>
          <w:lang w:eastAsia="zh-CN"/>
        </w:rPr>
        <w:t>”</w:t>
      </w:r>
      <w:r>
        <w:rPr>
          <w:rFonts w:ascii="宋体" w:hAnsi="宋体" w:eastAsia="宋体"/>
          <w:b w:val="0"/>
          <w:sz w:val="24"/>
        </w:rPr>
        <w:t>承诺书的；</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（7）未提供所投车辆强制性产品CCC认证证书复印件的；</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（8）未按规定格式填写，内容不全或关键字迹模糊、无法辨认的；</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（9）★强制性技术条款存在负偏离、无有效佐证材料的；</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（10）投标报价超过标段最高控制价的；</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（11）交付期限、质保期、付款方式、投标有效期不满足招标文件要求的；</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（12）同一投标人提交两个以上不同的投标文件或者投标报价的（招标文件要求提交备选标的除外）；</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（13）提供虚假证书、业绩、检测报告等材料的；</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（14）存在串通投标、恶意低于成本报价等违法行为的；</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（15）投标文件附有招标人不能接受的条件的；</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（16）不符合招标文件中规定的其他实质性要求的。</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投标文件有上述情况之一的，为未能对招标文件作出实质性响应，将作无效投标处理，不允许投标人通过修正或撤销不符之处而使其投标成为实质性响应的投标。</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8"/>
        </w:rPr>
        <w:t>F  中标、合同签订</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 xml:space="preserve">15. </w:t>
      </w:r>
      <w:r>
        <w:rPr>
          <w:rFonts w:hint="eastAsia"/>
          <w:b w:val="0"/>
          <w:sz w:val="24"/>
          <w:lang w:eastAsia="zh-CN"/>
        </w:rPr>
        <w:t>评标小组</w:t>
      </w:r>
      <w:r>
        <w:rPr>
          <w:rFonts w:ascii="宋体" w:hAnsi="宋体" w:eastAsia="宋体"/>
          <w:b w:val="0"/>
          <w:sz w:val="24"/>
        </w:rPr>
        <w:t>按综合得分从高到低排序，确定第一、第二中标候选人，公示</w:t>
      </w:r>
      <w:r>
        <w:rPr>
          <w:rFonts w:hint="eastAsia"/>
          <w:b w:val="0"/>
          <w:sz w:val="24"/>
          <w:lang w:val="en-US" w:eastAsia="zh-CN"/>
        </w:rPr>
        <w:t>5</w:t>
      </w:r>
      <w:r>
        <w:rPr>
          <w:rFonts w:ascii="宋体" w:hAnsi="宋体" w:eastAsia="宋体"/>
          <w:b w:val="0"/>
          <w:sz w:val="24"/>
        </w:rPr>
        <w:t>个工作日。</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16. 公示无异议发放《中标通知书》，中标人收到通知书7个工作日内签订采购合同，同步足额缴纳履约保证金。</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17. 招标文件、投标文件、澄清答复、成交通知书共同构成合同有效组成部分，签订合同时不得变更技术、质保、交付等实质性条款。</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18. 第一候选人放弃、核查造假、拒签合同，依次顺延第二候选人；无合格候选人，该标段重新招标。</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8"/>
        </w:rPr>
        <w:t>G  验收、付款、售后通用条款</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19. 付款节点（</w:t>
      </w:r>
      <w:r>
        <w:rPr>
          <w:rFonts w:hint="eastAsia"/>
          <w:b w:val="0"/>
          <w:sz w:val="24"/>
          <w:highlight w:val="none"/>
          <w:lang w:val="en-US" w:eastAsia="zh-CN"/>
        </w:rPr>
        <w:t>按标段</w:t>
      </w:r>
      <w:r>
        <w:rPr>
          <w:rFonts w:ascii="宋体" w:hAnsi="宋体" w:eastAsia="宋体"/>
          <w:b w:val="0"/>
          <w:sz w:val="24"/>
          <w:highlight w:val="none"/>
        </w:rPr>
        <w:t>）：</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付款方式：</w:t>
      </w:r>
      <w:r>
        <w:rPr>
          <w:rFonts w:hint="eastAsia"/>
          <w:b w:val="0"/>
          <w:sz w:val="24"/>
          <w:highlight w:val="none"/>
          <w:lang w:val="en-US" w:eastAsia="zh-CN"/>
        </w:rPr>
        <w:t>A标段</w:t>
      </w:r>
      <w:r>
        <w:rPr>
          <w:rFonts w:hint="eastAsia"/>
          <w:b w:val="0"/>
          <w:bCs w:val="0"/>
          <w:sz w:val="24"/>
          <w:highlight w:val="none"/>
          <w:lang w:val="en-US" w:eastAsia="zh-CN"/>
        </w:rPr>
        <w:t>48座</w:t>
      </w:r>
      <w:r>
        <w:rPr>
          <w:rFonts w:ascii="宋体" w:hAnsi="宋体" w:eastAsia="宋体"/>
          <w:b w:val="0"/>
          <w:bCs w:val="0"/>
          <w:sz w:val="24"/>
          <w:highlight w:val="none"/>
        </w:rPr>
        <w:t>30%预付款→30%验收款→40%六个月尾款；</w:t>
      </w:r>
      <w:r>
        <w:rPr>
          <w:rFonts w:hint="eastAsia"/>
          <w:b w:val="0"/>
          <w:bCs w:val="0"/>
          <w:sz w:val="24"/>
          <w:highlight w:val="none"/>
          <w:lang w:val="en-US" w:eastAsia="zh-CN"/>
        </w:rPr>
        <w:t>B标段9座</w:t>
      </w:r>
      <w:r>
        <w:rPr>
          <w:rFonts w:ascii="宋体" w:hAnsi="宋体" w:eastAsia="宋体"/>
          <w:b w:val="0"/>
          <w:bCs w:val="0"/>
          <w:sz w:val="24"/>
          <w:highlight w:val="none"/>
        </w:rPr>
        <w:t>30%预付款→</w:t>
      </w:r>
      <w:r>
        <w:rPr>
          <w:rFonts w:hint="eastAsia"/>
          <w:b w:val="0"/>
          <w:bCs w:val="0"/>
          <w:sz w:val="24"/>
          <w:highlight w:val="none"/>
          <w:lang w:val="en-US" w:eastAsia="zh-CN"/>
        </w:rPr>
        <w:t>7</w:t>
      </w:r>
      <w:r>
        <w:rPr>
          <w:rFonts w:ascii="宋体" w:hAnsi="宋体" w:eastAsia="宋体"/>
          <w:b w:val="0"/>
          <w:bCs w:val="0"/>
          <w:sz w:val="24"/>
          <w:highlight w:val="none"/>
        </w:rPr>
        <w:t>0%验收款</w:t>
      </w:r>
      <w:r>
        <w:rPr>
          <w:rFonts w:hint="eastAsia"/>
          <w:b w:val="0"/>
          <w:bCs w:val="0"/>
          <w:sz w:val="24"/>
          <w:highlight w:val="none"/>
          <w:lang w:eastAsia="zh-CN"/>
        </w:rPr>
        <w:t>；</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20. 验收标准：国家GB7258、JT/T325营运客车等级标准、本招标文件全部技术参数、厂家出厂标准；招标人有权赴生产工厂监造、抽检零部件。</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sz w:val="21"/>
          <w:highlight w:val="none"/>
          <w:lang w:val="en-US" w:eastAsia="zh-CN"/>
        </w:rPr>
      </w:pPr>
      <w:r>
        <w:rPr>
          <w:rFonts w:ascii="宋体" w:hAnsi="宋体" w:eastAsia="宋体"/>
          <w:b w:val="0"/>
          <w:sz w:val="24"/>
          <w:highlight w:val="none"/>
        </w:rPr>
        <w:t>21. 质保通用要求：整车≥3年/10万公里（先到为准）；48座客车三电系统≥8年质保；9座车辆</w:t>
      </w:r>
      <w:r>
        <w:rPr>
          <w:rFonts w:ascii="宋体" w:hAnsi="宋体" w:eastAsia="宋体"/>
          <w:sz w:val="21"/>
          <w:highlight w:val="none"/>
        </w:rPr>
        <w:t>三电质保</w:t>
      </w:r>
      <w:r>
        <w:rPr>
          <w:rFonts w:hint="eastAsia"/>
          <w:sz w:val="21"/>
          <w:highlight w:val="none"/>
          <w:lang w:eastAsia="zh-CN"/>
        </w:rPr>
        <w:t>：</w:t>
      </w:r>
      <w:r>
        <w:rPr>
          <w:rFonts w:hint="eastAsia" w:ascii="宋体" w:hAnsi="宋体" w:eastAsia="宋体"/>
          <w:sz w:val="21"/>
          <w:highlight w:val="none"/>
        </w:rPr>
        <w:t>电池质保</w:t>
      </w:r>
      <w:r>
        <w:rPr>
          <w:rFonts w:hint="eastAsia"/>
          <w:sz w:val="21"/>
          <w:highlight w:val="none"/>
          <w:lang w:val="en-US" w:eastAsia="zh-CN"/>
        </w:rPr>
        <w:t>不低于</w:t>
      </w:r>
      <w:r>
        <w:rPr>
          <w:rFonts w:hint="eastAsia" w:ascii="宋体" w:hAnsi="宋体" w:eastAsia="宋体"/>
          <w:sz w:val="21"/>
          <w:highlight w:val="none"/>
        </w:rPr>
        <w:t>6年/60万公里</w:t>
      </w:r>
      <w:r>
        <w:rPr>
          <w:rFonts w:ascii="宋体" w:hAnsi="宋体" w:eastAsia="宋体"/>
          <w:sz w:val="21"/>
          <w:highlight w:val="none"/>
        </w:rPr>
        <w:t>、</w:t>
      </w:r>
      <w:r>
        <w:rPr>
          <w:rFonts w:hint="eastAsia" w:ascii="宋体" w:hAnsi="宋体" w:eastAsia="宋体"/>
          <w:sz w:val="21"/>
          <w:highlight w:val="none"/>
        </w:rPr>
        <w:t>电机电控质保</w:t>
      </w:r>
      <w:r>
        <w:rPr>
          <w:rFonts w:hint="eastAsia"/>
          <w:sz w:val="21"/>
          <w:highlight w:val="none"/>
          <w:lang w:val="en-US" w:eastAsia="zh-CN"/>
        </w:rPr>
        <w:t>不低于5年/20万公里，整车质保不低于5年/10万公里。</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22. 售后维修违约：报修24小时响应，5日内完成维修；同一故障7日内重复出现，每次扣履约保证金1000元；车辆故障停驶超5日，按1000元/台/日赔付招标人运营损失。</w:t>
      </w:r>
    </w:p>
    <w:p>
      <w:pPr>
        <w:keepNext w:val="0"/>
        <w:keepLines w:val="0"/>
        <w:pageBreakBefore w:val="0"/>
        <w:widowControl/>
        <w:kinsoku/>
        <w:wordWrap/>
        <w:overflowPunct/>
        <w:topLinePunct w:val="0"/>
        <w:autoSpaceDE/>
        <w:autoSpaceDN/>
        <w:bidi w:val="0"/>
        <w:adjustRightInd/>
        <w:snapToGrid/>
        <w:spacing w:after="0" w:line="360" w:lineRule="auto"/>
        <w:textAlignment w:val="auto"/>
      </w:pPr>
      <w:r>
        <w:br w:type="page"/>
      </w:r>
    </w:p>
    <w:p>
      <w:pPr>
        <w:jc w:val="center"/>
        <w:outlineLvl w:val="0"/>
      </w:pPr>
      <w:bookmarkStart w:id="7" w:name="_Toc1601"/>
      <w:r>
        <w:rPr>
          <w:rFonts w:ascii="黑体" w:hAnsi="黑体" w:eastAsia="黑体"/>
          <w:b/>
          <w:sz w:val="44"/>
        </w:rPr>
        <w:t>第三章  评标办法（综合评分法，总分100分）</w:t>
      </w:r>
      <w:bookmarkEnd w:id="7"/>
    </w:p>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8"/>
        </w:rPr>
        <w:t>一、评审阶段（三阶段依次进行，前一阶段不合格不再进入下一阶段）</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1.资格性审查：核查全部资格材料，缺项、资质不满足直接废标。</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2.符合性审查：逐条核对★强制性技术条款、交付期、质保、商务核心要求，负偏离直接废标。</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3.综合打分评审：仅对通过前两项审查的投标人进行打分，价格40分、技术40分、商务20分。</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8"/>
        </w:rPr>
        <w:t>二、价格部分（满分40分，低价优先法）</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1.评标基准价：本标段所有有效投标文件中最低评标价为基准价，得满分40分。</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2.计算公式：投标报价得分=（评标基准价÷投标人评标价）×40</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3.备注：评标价为投标包干总价，无任何价格扣除；报价明显低于市场合理成本，投标人无法提供完整成本说明的，</w:t>
      </w:r>
      <w:r>
        <w:rPr>
          <w:rFonts w:hint="eastAsia"/>
          <w:b w:val="0"/>
          <w:sz w:val="24"/>
          <w:lang w:eastAsia="zh-CN"/>
        </w:rPr>
        <w:t>评标小组</w:t>
      </w:r>
      <w:r>
        <w:rPr>
          <w:rFonts w:ascii="宋体" w:hAnsi="宋体" w:eastAsia="宋体"/>
          <w:b w:val="0"/>
          <w:sz w:val="24"/>
        </w:rPr>
        <w:t>否决其投标。</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8"/>
        </w:rPr>
        <w:t>三、技术部分（满分40分）</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2"/>
        <w:gridCol w:w="1935"/>
        <w:gridCol w:w="1005"/>
        <w:gridCol w:w="50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序号</w:t>
            </w:r>
          </w:p>
        </w:tc>
        <w:tc>
          <w:tcPr>
            <w:tcW w:w="193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评审项目</w:t>
            </w:r>
          </w:p>
        </w:tc>
        <w:tc>
          <w:tcPr>
            <w:tcW w:w="100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分值</w:t>
            </w:r>
          </w:p>
        </w:tc>
        <w:tc>
          <w:tcPr>
            <w:tcW w:w="504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评审打分标准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0" w:hRule="atLeast"/>
          <w:jc w:val="center"/>
        </w:trPr>
        <w:tc>
          <w:tcPr>
            <w:tcW w:w="802"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宋体" w:hAnsi="宋体" w:eastAsia="宋体"/>
                <w:sz w:val="21"/>
                <w:highlight w:val="none"/>
              </w:rPr>
              <w:t>1</w:t>
            </w:r>
          </w:p>
        </w:tc>
        <w:tc>
          <w:tcPr>
            <w:tcW w:w="1935"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宋体" w:hAnsi="宋体" w:eastAsia="宋体"/>
                <w:sz w:val="21"/>
                <w:highlight w:val="none"/>
              </w:rPr>
              <w:t>整车三电系统配置</w:t>
            </w:r>
          </w:p>
        </w:tc>
        <w:tc>
          <w:tcPr>
            <w:tcW w:w="1005"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宋体" w:hAnsi="宋体" w:eastAsia="宋体"/>
                <w:sz w:val="21"/>
                <w:highlight w:val="none"/>
              </w:rPr>
              <w:t>12</w:t>
            </w:r>
          </w:p>
        </w:tc>
        <w:tc>
          <w:tcPr>
            <w:tcW w:w="5045" w:type="dxa"/>
            <w:vAlign w:val="center"/>
          </w:tcPr>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sz w:val="21"/>
                <w:highlight w:val="none"/>
              </w:rPr>
              <w:t>电池选用宁德时代/比亚迪等一线头部品牌，液冷温控、IP68防护、配套舱体自动灭火，</w:t>
            </w:r>
            <w:r>
              <w:rPr>
                <w:rFonts w:ascii="宋体" w:hAnsi="宋体" w:eastAsia="宋体"/>
                <w:b w:val="0"/>
                <w:sz w:val="24"/>
                <w:highlight w:val="none"/>
              </w:rPr>
              <w:t>集成烟雾、温度、热失控预警</w:t>
            </w:r>
            <w:r>
              <w:rPr>
                <w:rFonts w:hint="eastAsia"/>
                <w:b w:val="0"/>
                <w:sz w:val="24"/>
                <w:highlight w:val="none"/>
                <w:lang w:eastAsia="zh-CN"/>
              </w:rPr>
              <w:t>，</w:t>
            </w:r>
            <w:r>
              <w:rPr>
                <w:rFonts w:ascii="宋体" w:hAnsi="宋体" w:eastAsia="宋体"/>
                <w:b w:val="0"/>
                <w:sz w:val="24"/>
                <w:highlight w:val="none"/>
              </w:rPr>
              <w:t>支持整车OTA远程升级</w:t>
            </w:r>
            <w:r>
              <w:rPr>
                <w:rFonts w:hint="eastAsia"/>
                <w:b w:val="0"/>
                <w:sz w:val="24"/>
                <w:highlight w:val="none"/>
                <w:lang w:eastAsia="zh-CN"/>
              </w:rPr>
              <w:t>，</w:t>
            </w:r>
            <w:r>
              <w:rPr>
                <w:rFonts w:ascii="宋体" w:hAnsi="宋体" w:eastAsia="宋体"/>
                <w:sz w:val="21"/>
                <w:highlight w:val="none"/>
              </w:rPr>
              <w:t>10-12分；二线品牌、仅风冷散热，</w:t>
            </w:r>
            <w:r>
              <w:rPr>
                <w:rFonts w:hint="eastAsia"/>
                <w:sz w:val="21"/>
                <w:highlight w:val="none"/>
                <w:lang w:val="en-US" w:eastAsia="zh-CN"/>
              </w:rPr>
              <w:t>不</w:t>
            </w:r>
            <w:r>
              <w:rPr>
                <w:rFonts w:ascii="宋体" w:hAnsi="宋体" w:eastAsia="宋体"/>
                <w:b w:val="0"/>
                <w:sz w:val="24"/>
                <w:highlight w:val="none"/>
              </w:rPr>
              <w:t>集成烟雾、温度、热失控预警</w:t>
            </w:r>
            <w:r>
              <w:rPr>
                <w:rFonts w:hint="eastAsia"/>
                <w:b w:val="0"/>
                <w:sz w:val="24"/>
                <w:highlight w:val="none"/>
                <w:lang w:eastAsia="zh-CN"/>
              </w:rPr>
              <w:t>，</w:t>
            </w:r>
            <w:r>
              <w:rPr>
                <w:rFonts w:hint="eastAsia"/>
                <w:sz w:val="21"/>
                <w:highlight w:val="none"/>
                <w:lang w:val="en-US" w:eastAsia="zh-CN"/>
              </w:rPr>
              <w:t>不</w:t>
            </w:r>
            <w:r>
              <w:rPr>
                <w:rFonts w:ascii="宋体" w:hAnsi="宋体" w:eastAsia="宋体"/>
                <w:b w:val="0"/>
                <w:sz w:val="24"/>
                <w:highlight w:val="none"/>
              </w:rPr>
              <w:t>支持整车OTA远程升级</w:t>
            </w:r>
            <w:r>
              <w:rPr>
                <w:rFonts w:hint="eastAsia"/>
                <w:b w:val="0"/>
                <w:sz w:val="24"/>
                <w:highlight w:val="none"/>
                <w:lang w:eastAsia="zh-CN"/>
              </w:rPr>
              <w:t>，</w:t>
            </w:r>
            <w:r>
              <w:rPr>
                <w:rFonts w:ascii="宋体" w:hAnsi="宋体" w:eastAsia="宋体"/>
                <w:sz w:val="21"/>
                <w:highlight w:val="none"/>
              </w:rPr>
              <w:t>6-9分；三线及以下品牌，0-5分。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802"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宋体" w:hAnsi="宋体" w:eastAsia="宋体"/>
                <w:sz w:val="21"/>
                <w:highlight w:val="none"/>
              </w:rPr>
              <w:t>2</w:t>
            </w:r>
          </w:p>
        </w:tc>
        <w:tc>
          <w:tcPr>
            <w:tcW w:w="1935"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宋体" w:hAnsi="宋体" w:eastAsia="宋体"/>
                <w:sz w:val="21"/>
                <w:highlight w:val="none"/>
              </w:rPr>
              <w:t>整车安全配置</w:t>
            </w:r>
          </w:p>
        </w:tc>
        <w:tc>
          <w:tcPr>
            <w:tcW w:w="1005"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宋体" w:hAnsi="宋体" w:eastAsia="宋体"/>
                <w:sz w:val="21"/>
                <w:highlight w:val="none"/>
              </w:rPr>
              <w:t>10</w:t>
            </w:r>
          </w:p>
        </w:tc>
        <w:tc>
          <w:tcPr>
            <w:tcW w:w="5045"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highlight w:val="none"/>
              </w:rPr>
            </w:pPr>
            <w:r>
              <w:rPr>
                <w:rFonts w:ascii="宋体" w:hAnsi="宋体" w:eastAsia="宋体"/>
                <w:sz w:val="21"/>
                <w:highlight w:val="none"/>
              </w:rPr>
              <w:t>标配ESC、AEBS、LDWS、DMS、胎压监测、360全景影像、全车安全带报警、高压多重防护，满分10；缺一项主动安全配置扣2分，扣完为止。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2"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宋体" w:hAnsi="宋体" w:eastAsia="宋体"/>
                <w:sz w:val="21"/>
                <w:highlight w:val="none"/>
              </w:rPr>
              <w:t>3</w:t>
            </w:r>
          </w:p>
        </w:tc>
        <w:tc>
          <w:tcPr>
            <w:tcW w:w="1935"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eastAsia="黑体"/>
                <w:highlight w:val="none"/>
                <w:lang w:eastAsia="zh-CN"/>
              </w:rPr>
            </w:pPr>
            <w:r>
              <w:rPr>
                <w:rFonts w:ascii="宋体" w:hAnsi="宋体" w:eastAsia="宋体"/>
                <w:sz w:val="21"/>
                <w:highlight w:val="none"/>
              </w:rPr>
              <w:t>车身、底盘、内饰工艺</w:t>
            </w:r>
            <w:r>
              <w:rPr>
                <w:rFonts w:hint="eastAsia" w:ascii="黑体" w:hAnsi="黑体" w:eastAsia="黑体"/>
                <w:b/>
                <w:sz w:val="24"/>
                <w:highlight w:val="none"/>
                <w:lang w:eastAsia="zh-CN"/>
              </w:rPr>
              <w:t>、</w:t>
            </w:r>
            <w:r>
              <w:rPr>
                <w:rFonts w:ascii="宋体" w:hAnsi="宋体" w:eastAsia="宋体"/>
                <w:sz w:val="21"/>
                <w:highlight w:val="none"/>
              </w:rPr>
              <w:t>逃生安全设施</w:t>
            </w:r>
            <w:r>
              <w:rPr>
                <w:rFonts w:hint="eastAsia" w:ascii="宋体" w:hAnsi="宋体" w:eastAsia="宋体"/>
                <w:sz w:val="21"/>
                <w:highlight w:val="none"/>
                <w:lang w:eastAsia="zh-CN"/>
              </w:rPr>
              <w:t>、</w:t>
            </w:r>
            <w:r>
              <w:rPr>
                <w:rFonts w:ascii="宋体" w:hAnsi="宋体" w:eastAsia="宋体"/>
                <w:sz w:val="21"/>
                <w:highlight w:val="none"/>
              </w:rPr>
              <w:t>智能电器、监控、驾驶辅助系统</w:t>
            </w:r>
          </w:p>
        </w:tc>
        <w:tc>
          <w:tcPr>
            <w:tcW w:w="1005"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宋体" w:hAnsi="宋体" w:eastAsia="宋体"/>
                <w:sz w:val="21"/>
                <w:highlight w:val="none"/>
              </w:rPr>
              <w:t>8</w:t>
            </w:r>
          </w:p>
        </w:tc>
        <w:tc>
          <w:tcPr>
            <w:tcW w:w="5045"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highlight w:val="none"/>
              </w:rPr>
            </w:pPr>
            <w:r>
              <w:rPr>
                <w:rFonts w:ascii="宋体" w:hAnsi="宋体" w:eastAsia="宋体"/>
                <w:sz w:val="21"/>
                <w:highlight w:val="none"/>
              </w:rPr>
              <w:t>全承载阴极电泳车身、空气悬架、阻燃环保内饰、原厂加厚底盘防护，</w:t>
            </w:r>
            <w:r>
              <w:rPr>
                <w:rFonts w:ascii="宋体" w:hAnsi="宋体" w:eastAsia="宋体"/>
                <w:b w:val="0"/>
                <w:sz w:val="24"/>
                <w:highlight w:val="none"/>
              </w:rPr>
              <w:t>前、中双气动外摆铝制乘客门</w:t>
            </w:r>
            <w:r>
              <w:rPr>
                <w:rFonts w:hint="eastAsia"/>
                <w:sz w:val="21"/>
                <w:highlight w:val="none"/>
                <w:lang w:eastAsia="zh-CN"/>
              </w:rPr>
              <w:t>，</w:t>
            </w:r>
            <w:r>
              <w:rPr>
                <w:rFonts w:ascii="宋体" w:hAnsi="宋体" w:eastAsia="宋体"/>
                <w:b w:val="0"/>
                <w:sz w:val="24"/>
                <w:highlight w:val="none"/>
              </w:rPr>
              <w:t>三级CAN总线，7寸全液晶CAN仪表</w:t>
            </w:r>
            <w:r>
              <w:rPr>
                <w:rFonts w:hint="eastAsia"/>
                <w:b w:val="0"/>
                <w:sz w:val="24"/>
                <w:highlight w:val="none"/>
                <w:lang w:eastAsia="zh-CN"/>
              </w:rPr>
              <w:t>，</w:t>
            </w:r>
            <w:r>
              <w:rPr>
                <w:rFonts w:ascii="宋体" w:hAnsi="宋体" w:eastAsia="宋体"/>
                <w:sz w:val="21"/>
                <w:highlight w:val="none"/>
              </w:rPr>
              <w:t>6-8分；普通钢结构、钢板悬架，0-5分。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2"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宋体" w:hAnsi="宋体" w:eastAsia="宋体"/>
                <w:sz w:val="21"/>
                <w:highlight w:val="none"/>
              </w:rPr>
              <w:t>4</w:t>
            </w:r>
          </w:p>
        </w:tc>
        <w:tc>
          <w:tcPr>
            <w:tcW w:w="1935"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宋体" w:hAnsi="宋体" w:eastAsia="宋体"/>
                <w:sz w:val="21"/>
                <w:highlight w:val="none"/>
              </w:rPr>
              <w:t>质保与专项服务承诺</w:t>
            </w:r>
          </w:p>
        </w:tc>
        <w:tc>
          <w:tcPr>
            <w:tcW w:w="1005"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宋体" w:hAnsi="宋体" w:eastAsia="宋体"/>
                <w:sz w:val="21"/>
                <w:highlight w:val="none"/>
              </w:rPr>
              <w:t>10</w:t>
            </w:r>
          </w:p>
        </w:tc>
        <w:tc>
          <w:tcPr>
            <w:tcW w:w="5045"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highlight w:val="none"/>
              </w:rPr>
            </w:pPr>
            <w:r>
              <w:rPr>
                <w:rFonts w:ascii="宋体" w:hAnsi="宋体" w:eastAsia="宋体"/>
                <w:sz w:val="21"/>
                <w:highlight w:val="none"/>
              </w:rPr>
              <w:t>三电质保优于招标文件最低要求、提供每年2次免费上门巡检、驻场维保、备件本地常备库，8-10分；仅满足最低质保要求，3-7分；质保低于招标文件标准0分。</w:t>
            </w:r>
          </w:p>
        </w:tc>
      </w:tr>
    </w:tbl>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rPr>
          <w:highlight w:val="none"/>
        </w:rPr>
      </w:pPr>
      <w:r>
        <w:rPr>
          <w:rFonts w:ascii="黑体" w:hAnsi="黑体" w:eastAsia="黑体"/>
          <w:b/>
          <w:sz w:val="28"/>
          <w:highlight w:val="none"/>
        </w:rPr>
        <w:t>四、商务部分（满分20分）</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1701"/>
        <w:gridCol w:w="850"/>
        <w:gridCol w:w="56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黑体" w:hAnsi="黑体" w:eastAsia="黑体"/>
                <w:b/>
                <w:sz w:val="21"/>
                <w:highlight w:val="none"/>
              </w:rPr>
              <w:t>序号</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黑体" w:hAnsi="黑体" w:eastAsia="黑体"/>
                <w:b/>
                <w:sz w:val="21"/>
                <w:highlight w:val="none"/>
              </w:rPr>
              <w:t>评审项目</w:t>
            </w:r>
          </w:p>
        </w:tc>
        <w:tc>
          <w:tcPr>
            <w:tcW w:w="85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黑体" w:hAnsi="黑体" w:eastAsia="黑体"/>
                <w:b/>
                <w:sz w:val="21"/>
                <w:highlight w:val="none"/>
              </w:rPr>
              <w:t>分值</w:t>
            </w:r>
          </w:p>
        </w:tc>
        <w:tc>
          <w:tcPr>
            <w:tcW w:w="566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黑体" w:hAnsi="黑体" w:eastAsia="黑体"/>
                <w:b/>
                <w:sz w:val="21"/>
                <w:highlight w:val="none"/>
              </w:rPr>
              <w:t>评审打分标准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宋体" w:hAnsi="宋体" w:eastAsia="宋体"/>
                <w:sz w:val="21"/>
                <w:highlight w:val="none"/>
              </w:rPr>
              <w:t>1</w:t>
            </w:r>
          </w:p>
        </w:tc>
        <w:tc>
          <w:tcPr>
            <w:tcW w:w="1701"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宋体" w:hAnsi="宋体" w:eastAsia="宋体"/>
                <w:sz w:val="21"/>
                <w:highlight w:val="none"/>
              </w:rPr>
              <w:t>同类营运客车业绩</w:t>
            </w:r>
          </w:p>
        </w:tc>
        <w:tc>
          <w:tcPr>
            <w:tcW w:w="85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宋体" w:hAnsi="宋体" w:eastAsia="宋体"/>
                <w:sz w:val="21"/>
                <w:highlight w:val="none"/>
              </w:rPr>
              <w:t>12</w:t>
            </w:r>
          </w:p>
        </w:tc>
        <w:tc>
          <w:tcPr>
            <w:tcW w:w="566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highlight w:val="none"/>
              </w:rPr>
            </w:pPr>
            <w:r>
              <w:rPr>
                <w:rFonts w:ascii="宋体" w:hAnsi="宋体" w:eastAsia="宋体"/>
                <w:sz w:val="21"/>
                <w:highlight w:val="none"/>
              </w:rPr>
              <w:t>近3年每提供1份同类纯电客运车辆供货合同（单标段≥3台）得3分，最多12分；无同类业绩0分。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宋体" w:hAnsi="宋体" w:eastAsia="宋体"/>
                <w:sz w:val="21"/>
                <w:highlight w:val="none"/>
              </w:rPr>
              <w:t>2</w:t>
            </w:r>
          </w:p>
        </w:tc>
        <w:tc>
          <w:tcPr>
            <w:tcW w:w="1701"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宋体" w:hAnsi="宋体" w:eastAsia="宋体"/>
                <w:sz w:val="21"/>
                <w:highlight w:val="none"/>
              </w:rPr>
              <w:t>本地化售后保障</w:t>
            </w:r>
          </w:p>
        </w:tc>
        <w:tc>
          <w:tcPr>
            <w:tcW w:w="85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宋体" w:hAnsi="宋体" w:eastAsia="宋体"/>
                <w:sz w:val="21"/>
                <w:highlight w:val="none"/>
              </w:rPr>
              <w:t>5</w:t>
            </w:r>
          </w:p>
        </w:tc>
        <w:tc>
          <w:tcPr>
            <w:tcW w:w="566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highlight w:val="none"/>
              </w:rPr>
            </w:pPr>
            <w:r>
              <w:rPr>
                <w:rFonts w:ascii="宋体" w:hAnsi="宋体" w:eastAsia="宋体"/>
                <w:sz w:val="21"/>
                <w:highlight w:val="none"/>
              </w:rPr>
              <w:t>厦门本地设有官方4S维保站、常驻维修技师、2小时现场救援，4-5分；仅福建省外地网点1-3分；无省内网点0分。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3</w:t>
            </w:r>
          </w:p>
        </w:tc>
        <w:tc>
          <w:tcPr>
            <w:tcW w:w="1701"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企业综合实力、信誉</w:t>
            </w:r>
          </w:p>
        </w:tc>
        <w:tc>
          <w:tcPr>
            <w:tcW w:w="85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3</w:t>
            </w:r>
          </w:p>
        </w:tc>
        <w:tc>
          <w:tcPr>
            <w:tcW w:w="5669"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left"/>
              <w:textAlignment w:val="auto"/>
            </w:pPr>
            <w:r>
              <w:rPr>
                <w:rFonts w:ascii="宋体" w:hAnsi="宋体" w:eastAsia="宋体"/>
                <w:sz w:val="21"/>
              </w:rPr>
              <w:t>整车生产大厂、无失信处罚、国家级荣誉3分；中型厂家无不良记录1-2分；存在失信记录0分。</w:t>
            </w:r>
          </w:p>
        </w:tc>
      </w:tr>
    </w:tbl>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rPr>
          <w:rFonts w:ascii="黑体" w:hAnsi="黑体" w:eastAsia="黑体"/>
          <w:b/>
          <w:sz w:val="28"/>
        </w:rPr>
      </w:pP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8"/>
        </w:rPr>
        <w:t>五、中标候选人确定规则</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1.同</w:t>
      </w:r>
      <w:r>
        <w:rPr>
          <w:rFonts w:hint="eastAsia"/>
          <w:b w:val="0"/>
          <w:sz w:val="24"/>
          <w:lang w:val="en-US" w:eastAsia="zh-CN"/>
        </w:rPr>
        <w:t>一</w:t>
      </w:r>
      <w:r>
        <w:rPr>
          <w:rFonts w:ascii="宋体" w:hAnsi="宋体" w:eastAsia="宋体"/>
          <w:b w:val="0"/>
          <w:sz w:val="24"/>
        </w:rPr>
        <w:t>标段内，综合得分由高到低排序，得分最高为第一中标候选人；得分相同，投标报价低者优先；得分、报价均相同，技术分高者优先。</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2.候选人放弃中标、核查存在材料造假、逾期不签合同，招标人可顺延第二候选人或重新招标。</w:t>
      </w:r>
    </w:p>
    <w:p>
      <w:pPr>
        <w:keepNext w:val="0"/>
        <w:keepLines w:val="0"/>
        <w:pageBreakBefore w:val="0"/>
        <w:widowControl/>
        <w:kinsoku/>
        <w:wordWrap/>
        <w:overflowPunct/>
        <w:topLinePunct w:val="0"/>
        <w:autoSpaceDE/>
        <w:autoSpaceDN/>
        <w:bidi w:val="0"/>
        <w:adjustRightInd/>
        <w:snapToGrid/>
        <w:spacing w:after="0" w:line="360" w:lineRule="auto"/>
        <w:textAlignment w:val="auto"/>
      </w:pPr>
      <w:r>
        <w:br w:type="page"/>
      </w:r>
    </w:p>
    <w:p>
      <w:pPr>
        <w:jc w:val="center"/>
        <w:outlineLvl w:val="0"/>
      </w:pPr>
      <w:bookmarkStart w:id="8" w:name="_Toc18156"/>
      <w:r>
        <w:rPr>
          <w:rFonts w:ascii="黑体" w:hAnsi="黑体" w:eastAsia="黑体"/>
          <w:b/>
          <w:sz w:val="44"/>
        </w:rPr>
        <w:t>第四章  采购需求（分标段完整技术参数）</w:t>
      </w:r>
      <w:bookmarkEnd w:id="8"/>
    </w:p>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8"/>
        </w:rPr>
        <w:t>通用总则（全标段统一强制要求，所有标段必须全部响应）</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4"/>
        </w:rPr>
        <w:t>一、法规与标准强制要求</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1.整车必须纳入工信部《道路机动车辆生产企业及产品公告》</w:t>
      </w:r>
      <w:r>
        <w:rPr>
          <w:rFonts w:hint="eastAsia"/>
          <w:b w:val="0"/>
          <w:sz w:val="24"/>
          <w:lang w:eastAsia="zh-CN"/>
        </w:rPr>
        <w:t>，</w:t>
      </w:r>
      <w:r>
        <w:rPr>
          <w:rFonts w:ascii="宋体" w:hAnsi="宋体" w:eastAsia="宋体"/>
          <w:b w:val="0"/>
          <w:sz w:val="24"/>
        </w:rPr>
        <w:t>具备完整营运等级评定证书，符合JT/T 325《营运客车类型划分及等级评定》。</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2.整车安全符合GB7258《机动车运行安全技术条件》；车内噪音≤82dB(A)，车外噪声符合GB1495、GB1496标准。</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3.内饰、地板、座椅材料阻燃性能符合GB8410，无异味、环保低VOC，适配长期营运载客场景。</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4.高压系统全部符合GB 38031、GB 38032电动客车安全国标，高压部件橙色波纹管包覆，配备MSD维修开关、高压互锁、绝缘监测、碰撞自动下电保护。</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5.所有车辆为全新原厂整车，生产日期不得超过三个月，无库存、无试乘试驾、无事故、无改装、无泡水，交付时电量/电量储备达标。</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6.交付标配：整车合格证、营运等级评定报告、购置税减免材料、整车全套检测报告、车架号拓印件4份、上牌专用车辆照片、全套维修保养手册、原厂随车工具、备胎、消防逃生器材。</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hint="eastAsia"/>
          <w:b w:val="0"/>
          <w:sz w:val="24"/>
          <w:lang w:val="en-US" w:eastAsia="zh-CN"/>
        </w:rPr>
        <w:t>7</w:t>
      </w:r>
      <w:r>
        <w:rPr>
          <w:rFonts w:ascii="宋体" w:hAnsi="宋体" w:eastAsia="宋体"/>
          <w:b w:val="0"/>
          <w:sz w:val="24"/>
        </w:rPr>
        <w:t>.智能监控预埋：</w:t>
      </w:r>
      <w:r>
        <w:rPr>
          <w:rFonts w:hint="eastAsia"/>
          <w:b w:val="0"/>
          <w:sz w:val="24"/>
          <w:lang w:val="en-US" w:eastAsia="zh-CN"/>
        </w:rPr>
        <w:t>48座客车</w:t>
      </w:r>
      <w:r>
        <w:rPr>
          <w:rFonts w:ascii="宋体" w:hAnsi="宋体" w:eastAsia="宋体"/>
          <w:b w:val="0"/>
          <w:sz w:val="24"/>
        </w:rPr>
        <w:t>全车预留交通运输动态监控平台预埋线束、摄像头安装点位，可无缝对接厦门市道路运输车辆监管系统，支持轨迹回放、驾驶员行为识别、超速/疲劳报警数据上传。</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4"/>
        </w:rPr>
        <w:t>二、统一售后、质保通用条款（全标段适用）</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1.救援：7×24小时全国道路救援，厦门区域接报20分钟响应，2小时到达现场抢修。</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2.巡检：每年2次免费上门全车检测、三电系统校准、底盘紧固、空调养护，全部工时、配件免费。</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3.备件：福建省内常设备件中心，常用配件48小时送达厦门场站，核心三电配件72小时到位。</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4.培训：交付现场免费开展驾驶员操作培训、维修人员三电维保专项培训，提供纸质+电子版教学资料。</w:t>
      </w:r>
    </w:p>
    <w:p>
      <w:r>
        <w:br w:type="page"/>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8"/>
        </w:rPr>
        <w:t>A标段：4台48座大型高一级纯电动营运客车</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2"/>
        <w:rPr>
          <w:rFonts w:ascii="宋体" w:hAnsi="宋体" w:eastAsia="宋体"/>
          <w:b/>
          <w:sz w:val="24"/>
        </w:rPr>
      </w:pPr>
      <w:r>
        <w:rPr>
          <w:rFonts w:ascii="宋体" w:hAnsi="宋体" w:eastAsia="宋体"/>
          <w:b/>
          <w:sz w:val="24"/>
        </w:rPr>
        <w:t>（★为实质性强制条款，负偏离直接废标）</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bookmarkStart w:id="9" w:name="OLE_LINK4"/>
      <w:r>
        <w:rPr>
          <w:rFonts w:ascii="宋体" w:hAnsi="宋体" w:eastAsia="宋体"/>
          <w:b w:val="0"/>
          <w:sz w:val="24"/>
        </w:rPr>
        <w:t>车身统一标识：</w:t>
      </w:r>
      <w:r>
        <w:rPr>
          <w:rFonts w:hint="eastAsia"/>
          <w:b w:val="0"/>
          <w:sz w:val="24"/>
          <w:lang w:val="en-US" w:eastAsia="zh-CN"/>
        </w:rPr>
        <w:t>车身颜色、</w:t>
      </w:r>
      <w:r>
        <w:rPr>
          <w:rFonts w:ascii="宋体" w:hAnsi="宋体" w:eastAsia="宋体"/>
          <w:b w:val="0"/>
          <w:sz w:val="24"/>
        </w:rPr>
        <w:t>车身前后、</w:t>
      </w:r>
      <w:bookmarkStart w:id="10" w:name="OLE_LINK3"/>
      <w:r>
        <w:rPr>
          <w:rFonts w:ascii="宋体" w:hAnsi="宋体" w:eastAsia="宋体"/>
          <w:b w:val="0"/>
          <w:sz w:val="24"/>
        </w:rPr>
        <w:t>两侧</w:t>
      </w:r>
      <w:r>
        <w:rPr>
          <w:rFonts w:hint="eastAsia" w:ascii="宋体" w:hAnsi="宋体" w:eastAsia="宋体"/>
          <w:b w:val="0"/>
          <w:sz w:val="24"/>
        </w:rPr>
        <w:t>透明车贴</w:t>
      </w:r>
      <w:r>
        <w:rPr>
          <w:rFonts w:ascii="宋体" w:hAnsi="宋体" w:eastAsia="宋体"/>
          <w:b w:val="0"/>
          <w:sz w:val="24"/>
        </w:rPr>
        <w:t>厦门公交集团LOGO、</w:t>
      </w:r>
      <w:r>
        <w:rPr>
          <w:rFonts w:hint="eastAsia"/>
          <w:b w:val="0"/>
          <w:sz w:val="24"/>
          <w:lang w:eastAsia="zh-CN"/>
        </w:rPr>
        <w:t>“</w:t>
      </w:r>
      <w:r>
        <w:rPr>
          <w:rFonts w:ascii="宋体" w:hAnsi="宋体" w:eastAsia="宋体"/>
          <w:b w:val="0"/>
          <w:sz w:val="24"/>
        </w:rPr>
        <w:t>厦门公交鹭驰交通</w:t>
      </w:r>
      <w:r>
        <w:rPr>
          <w:rFonts w:hint="eastAsia"/>
          <w:b w:val="0"/>
          <w:sz w:val="24"/>
          <w:lang w:eastAsia="zh-CN"/>
        </w:rPr>
        <w:t>”</w:t>
      </w:r>
      <w:r>
        <w:rPr>
          <w:rFonts w:ascii="宋体" w:hAnsi="宋体" w:eastAsia="宋体"/>
          <w:b w:val="0"/>
          <w:sz w:val="24"/>
        </w:rPr>
        <w:t>字样、核载人数</w:t>
      </w:r>
      <w:bookmarkEnd w:id="10"/>
      <w:r>
        <w:rPr>
          <w:rFonts w:ascii="宋体" w:hAnsi="宋体" w:eastAsia="宋体"/>
          <w:b w:val="0"/>
          <w:sz w:val="24"/>
        </w:rPr>
        <w:t>，配色由招标人提供效果图确认，中标人免费设计并施工。</w:t>
      </w:r>
    </w:p>
    <w:bookmarkEnd w:id="9"/>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4"/>
        </w:rPr>
        <w:t>1  整车基础参数</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★1.1 外形尺寸：车长10990±50mm，车宽2550mm，车高3475</w:t>
      </w:r>
      <w:r>
        <w:rPr>
          <w:rFonts w:hint="eastAsia" w:ascii="宋体" w:hAnsi="宋体" w:eastAsia="宋体" w:cs="宋体"/>
          <w:b w:val="0"/>
          <w:sz w:val="24"/>
          <w:highlight w:val="none"/>
        </w:rPr>
        <w:t>～</w:t>
      </w:r>
      <w:r>
        <w:rPr>
          <w:rFonts w:hint="eastAsia"/>
          <w:b w:val="0"/>
          <w:sz w:val="24"/>
          <w:highlight w:val="none"/>
          <w:lang w:val="en-US" w:eastAsia="zh-CN"/>
        </w:rPr>
        <w:t>3620</w:t>
      </w:r>
      <w:r>
        <w:rPr>
          <w:rFonts w:ascii="宋体" w:hAnsi="宋体" w:eastAsia="宋体"/>
          <w:b w:val="0"/>
          <w:sz w:val="24"/>
          <w:highlight w:val="none"/>
        </w:rPr>
        <w:t>mm；轴距≥5</w:t>
      </w:r>
      <w:r>
        <w:rPr>
          <w:rFonts w:hint="eastAsia"/>
          <w:b w:val="0"/>
          <w:sz w:val="24"/>
          <w:highlight w:val="none"/>
          <w:lang w:val="en-US" w:eastAsia="zh-CN"/>
        </w:rPr>
        <w:t>6</w:t>
      </w:r>
      <w:r>
        <w:rPr>
          <w:rFonts w:ascii="宋体" w:hAnsi="宋体" w:eastAsia="宋体"/>
          <w:b w:val="0"/>
          <w:sz w:val="24"/>
          <w:highlight w:val="none"/>
        </w:rPr>
        <w:t>00mm</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★1.2 通过性能：接近角≥</w:t>
      </w:r>
      <w:r>
        <w:rPr>
          <w:rFonts w:hint="eastAsia"/>
          <w:b w:val="0"/>
          <w:sz w:val="24"/>
          <w:highlight w:val="none"/>
          <w:lang w:val="en-US" w:eastAsia="zh-CN"/>
        </w:rPr>
        <w:t>8</w:t>
      </w:r>
      <w:r>
        <w:rPr>
          <w:rFonts w:ascii="宋体" w:hAnsi="宋体" w:eastAsia="宋体"/>
          <w:b w:val="0"/>
          <w:sz w:val="24"/>
          <w:highlight w:val="none"/>
        </w:rPr>
        <w:t>°，离去角≥</w:t>
      </w:r>
      <w:r>
        <w:rPr>
          <w:rFonts w:hint="eastAsia"/>
          <w:b w:val="0"/>
          <w:sz w:val="24"/>
          <w:highlight w:val="none"/>
          <w:lang w:val="en-US" w:eastAsia="zh-CN"/>
        </w:rPr>
        <w:t>8</w:t>
      </w:r>
      <w:r>
        <w:rPr>
          <w:rFonts w:ascii="宋体" w:hAnsi="宋体" w:eastAsia="宋体"/>
          <w:b w:val="0"/>
          <w:sz w:val="24"/>
          <w:highlight w:val="none"/>
        </w:rPr>
        <w:t>°，最小转弯直径≤20.4m，最大爬坡度≥15%</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★1.3 座位布局：2+2排布，47乘客+1驾驶员，座位间距满足大型高一级营运标准</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1.4 质量参数：最大总质量≤16900kg，整备质量≤12000kg</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★1.5 限速：整车电子限速100km/h，具备超速声光报警、后台记录功能</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default" w:ascii="宋体" w:hAnsi="宋体" w:eastAsia="宋体"/>
          <w:b w:val="0"/>
          <w:sz w:val="24"/>
          <w:highlight w:val="none"/>
          <w:lang w:val="en-US" w:eastAsia="zh-CN"/>
        </w:rPr>
      </w:pPr>
      <w:r>
        <w:rPr>
          <w:rFonts w:ascii="宋体" w:hAnsi="宋体" w:eastAsia="宋体"/>
          <w:b w:val="0"/>
          <w:sz w:val="24"/>
          <w:highlight w:val="none"/>
        </w:rPr>
        <w:t>★1.6 续航：等速法续航≥500km</w:t>
      </w:r>
      <w:r>
        <w:rPr>
          <w:rFonts w:hint="eastAsia"/>
          <w:b w:val="0"/>
          <w:sz w:val="24"/>
          <w:highlight w:val="none"/>
          <w:lang w:eastAsia="zh-CN"/>
        </w:rPr>
        <w:t>，</w:t>
      </w:r>
      <w:r>
        <w:rPr>
          <w:rFonts w:ascii="宋体" w:hAnsi="宋体" w:eastAsia="宋体"/>
          <w:b w:val="0"/>
          <w:sz w:val="24"/>
        </w:rPr>
        <w:t>实际满载营运续航≥300km</w:t>
      </w:r>
      <w:r>
        <w:rPr>
          <w:rFonts w:hint="eastAsia"/>
          <w:b w:val="0"/>
          <w:sz w:val="24"/>
          <w:highlight w:val="none"/>
          <w:lang w:eastAsia="zh-CN"/>
        </w:rPr>
        <w:t>（</w:t>
      </w:r>
      <w:r>
        <w:rPr>
          <w:rFonts w:hint="eastAsia"/>
          <w:b w:val="0"/>
          <w:sz w:val="24"/>
          <w:highlight w:val="none"/>
          <w:lang w:val="en-US" w:eastAsia="zh-CN"/>
        </w:rPr>
        <w:t>承诺函）</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★1.7 涉水深度：整车安全涉水≥300mm</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2"/>
      </w:pPr>
      <w:r>
        <w:rPr>
          <w:rFonts w:ascii="宋体" w:hAnsi="宋体" w:eastAsia="宋体"/>
          <w:b w:val="0"/>
          <w:sz w:val="24"/>
        </w:rPr>
        <w:t>1.8 整车设计：流线低风阻车身，风阻系数≤0.37；全阻燃环保内饰，无刺激性气味</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4"/>
        </w:rPr>
        <w:t>2  三电系统（核心质保部件）</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★2.1 驱动电机：直驱永磁同步电机；额定功率≥120kW，峰值功率≥240kW，峰值扭矩≥2400N·m；防护等级IP68，水冷散热，铝制外壳。</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★2.2 动力电池：一线品牌磷酸铁锂电池，总储电量≥310.66kWh，系统能量密度≥170Wh/kg；液冷全域温控，电池包防护IP68。</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2.3 电池安全：电池舱独立封闭，A级防火隔离；配备专用柱状自动灭火装置，集成</w:t>
      </w:r>
      <w:r>
        <w:rPr>
          <w:rFonts w:hint="eastAsia"/>
          <w:b w:val="0"/>
          <w:sz w:val="24"/>
          <w:highlight w:val="none"/>
          <w:lang w:val="en-US" w:eastAsia="zh-CN"/>
        </w:rPr>
        <w:t>或不集成</w:t>
      </w:r>
      <w:r>
        <w:rPr>
          <w:rFonts w:ascii="宋体" w:hAnsi="宋体" w:eastAsia="宋体"/>
          <w:b w:val="0"/>
          <w:sz w:val="24"/>
          <w:highlight w:val="none"/>
        </w:rPr>
        <w:t>烟雾、温度、热失控预警，驾驶区声光报警。</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highlight w:val="none"/>
        </w:rPr>
        <w:t>2.4 电控系统：多合一高集成控制器，具备制动能量多级回收、充电联锁保护、故障自动下电；支持整车OTA远程升级，符合GB/T3</w:t>
      </w:r>
      <w:r>
        <w:rPr>
          <w:rFonts w:ascii="宋体" w:hAnsi="宋体" w:eastAsia="宋体"/>
          <w:b w:val="0"/>
          <w:sz w:val="24"/>
        </w:rPr>
        <w:t>2960远程监控标准。</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2.5 充电配置：新国标九孔直流快充，车身右侧双快充口；快充30%-80%时长≤1小时。</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★2.6 三电质保：电机、电控、电池系统整体质保8年，质保期内电池容量衰减至80%以下免费更换全新电池总成。</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4"/>
        </w:rPr>
        <w:t>3  底盘、制动、悬架系统</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★3.1 车身骨架：全承载3H闭环高强钢车身，整车阴极电泳防腐；机器人焊接，前围碰撞吸能结构，骨架质保8年。</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w:t>
      </w:r>
      <w:r>
        <w:rPr>
          <w:rFonts w:hint="eastAsia"/>
          <w:b w:val="0"/>
          <w:sz w:val="24"/>
          <w:highlight w:val="none"/>
          <w:lang w:val="en-US" w:eastAsia="zh-CN"/>
        </w:rPr>
        <w:t>3.2</w:t>
      </w:r>
      <w:r>
        <w:rPr>
          <w:rFonts w:ascii="宋体" w:hAnsi="宋体" w:eastAsia="宋体"/>
          <w:b w:val="0"/>
          <w:sz w:val="24"/>
          <w:highlight w:val="none"/>
        </w:rPr>
        <w:t>车桥配置：前桥承载≥</w:t>
      </w:r>
      <w:r>
        <w:rPr>
          <w:rFonts w:hint="eastAsia"/>
          <w:b w:val="0"/>
          <w:sz w:val="24"/>
          <w:highlight w:val="none"/>
          <w:lang w:val="en-US" w:eastAsia="zh-CN"/>
        </w:rPr>
        <w:t>5.5</w:t>
      </w:r>
      <w:r>
        <w:rPr>
          <w:rFonts w:ascii="宋体" w:hAnsi="宋体" w:eastAsia="宋体"/>
          <w:b w:val="0"/>
          <w:sz w:val="24"/>
          <w:highlight w:val="none"/>
        </w:rPr>
        <w:t>T，后桥承载≥10.</w:t>
      </w:r>
      <w:r>
        <w:rPr>
          <w:rFonts w:hint="eastAsia"/>
          <w:b w:val="0"/>
          <w:sz w:val="24"/>
          <w:highlight w:val="none"/>
          <w:lang w:val="en-US" w:eastAsia="zh-CN"/>
        </w:rPr>
        <w:t>5</w:t>
      </w:r>
      <w:r>
        <w:rPr>
          <w:rFonts w:ascii="宋体" w:hAnsi="宋体" w:eastAsia="宋体"/>
          <w:b w:val="0"/>
          <w:sz w:val="24"/>
          <w:highlight w:val="none"/>
        </w:rPr>
        <w:t>T；前后全盘式制动器，免维护轮端轴承单元。</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★3.3 悬架：前2后4气囊空气悬架，双向液压减震+横向稳定杆，可选车身升降功能，升降声光提醒。</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★3.4 主动制动安全：标配EBS+ESC全套系统，集成ABS、ASR、AEBS自动紧急制动、EBA制动辅助、HAC坡道驻车、油门防误踩保护。</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3.5 制动性能：30km/h初速制动距离≤10m，20%坡道驻车5分钟无溜车。</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★3.6 空压机：无油静音空压机，防护IP68，质保8年；双回路气压制动，铝合金储气筒带全自动智能放水阀。</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★3.7 轮胎轮毂：11R22.5低滚阻全钢子午线轮胎，铝合金轮辋；前轮标配胎压监测+爆胎应急安全装置，随车配备同规格全尺寸备胎。</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4"/>
        </w:rPr>
        <w:t>4  车身内外饰、逃生安全设施</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highlight w:val="none"/>
        </w:rPr>
        <w:t>4.1 乘客门：前、中双气动外摆铝制乘客门，</w:t>
      </w:r>
      <w:r>
        <w:rPr>
          <w:rFonts w:ascii="宋体" w:hAnsi="宋体" w:eastAsia="宋体"/>
          <w:b w:val="0"/>
          <w:sz w:val="24"/>
        </w:rPr>
        <w:t>遥控开关、门速缓冲调节；门未关严车辆无法起步，内外配备应急手动阀。</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★4.2 逃生配置：左侧外推应急逃生门，后挡风自动破玻器；6把带防盗报警安全锤（含驾驶位），标识清晰；2个顶置换气逃生天窗，其中1台集成空气消毒净化装置。</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4.3 车窗：前挡夹层安全玻璃，侧窗绿色隔热钢化玻璃；司机侧内嵌推拉窗，后排局部推拉窗。</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4.4 行李舱：贯通式大容量铝合金行李舱，容积≥5.3m³，铺防滑装饰地板，配行李固定弹力绳。</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4.5 地板：阻燃防滑凹型地板，18mm厚竹胶基材，整车防水密封，接缝无渗水。</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★4.6 座椅系统：驾驶员三点式全气囊减震座椅，带通风、加热、离座报警、安全带未系提醒；乘客高靠背可调仿皮座椅，带横移、脚踏、扶手，全车三点式安全带，每个座位配备安全带未系声光提醒。</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rPr>
        <w:t>4.7 车内配套：全车内行李架、钢管式驾驶隔离护栏；</w:t>
      </w:r>
      <w:r>
        <w:rPr>
          <w:rFonts w:ascii="宋体" w:hAnsi="宋体" w:eastAsia="宋体"/>
          <w:b w:val="0"/>
          <w:sz w:val="24"/>
          <w:highlight w:val="none"/>
        </w:rPr>
        <w:t>全车USB充电接口（每座1个）、驾驶区专用无线充电；电子钟带内外温度显示；前后分区阅读氛围灯、踏步照明</w:t>
      </w:r>
      <w:r>
        <w:rPr>
          <w:rFonts w:hint="eastAsia"/>
          <w:b w:val="0"/>
          <w:sz w:val="24"/>
          <w:highlight w:val="none"/>
          <w:lang w:eastAsia="zh-CN"/>
        </w:rPr>
        <w:t>；</w:t>
      </w:r>
      <w:r>
        <w:rPr>
          <w:rFonts w:hint="eastAsia"/>
          <w:b w:val="0"/>
          <w:sz w:val="24"/>
          <w:highlight w:val="none"/>
          <w:lang w:val="en-US" w:eastAsia="zh-CN"/>
        </w:rPr>
        <w:t>前置车载LED显示屏</w:t>
      </w:r>
      <w:r>
        <w:rPr>
          <w:rFonts w:ascii="宋体" w:hAnsi="宋体" w:eastAsia="宋体"/>
          <w:b w:val="0"/>
          <w:sz w:val="24"/>
          <w:highlight w:val="none"/>
        </w:rPr>
        <w:t>。</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4.8 外后视镜：电动大视野兔耳后视镜，带电加热除霜，防刮防护罩。</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4"/>
        </w:rPr>
        <w:t>5  智能电器、监控、驾驶辅助系统</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★5.1 多重安全预警：标配DMS驾驶员疲劳监测、LDWS车道偏离预警、BSD77G毫米波盲区探测（4雷达，三级声光报警）。</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5.2 全景影像：7寸液晶360°全景高清环视系统，带倒车动态轨迹，摄像头防水防护罩。</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rPr>
        <w:t>5.3 整车线束：全车V0级阻燃波纹管防护，底盘线束防石击，防水插接件，</w:t>
      </w:r>
      <w:r>
        <w:rPr>
          <w:rFonts w:ascii="宋体" w:hAnsi="宋体" w:eastAsia="宋体"/>
          <w:b w:val="0"/>
          <w:sz w:val="24"/>
          <w:highlight w:val="none"/>
        </w:rPr>
        <w:t>三级CAN总线，开机全车电器自检、短路保护。</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5.4 监控系统：7路高清车载存储录像机，存储容量≥128G；覆盖前路、驾驶员面部、车内全景、前后门、踏板区域，数据可保存30天以上。</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highlight w:val="none"/>
        </w:rPr>
        <w:t>5.5 仪表中控：7寸全液晶CAN仪表+10.1英寸触控中控屏，</w:t>
      </w:r>
      <w:r>
        <w:rPr>
          <w:rFonts w:ascii="宋体" w:hAnsi="宋体" w:eastAsia="宋体"/>
          <w:b w:val="0"/>
          <w:sz w:val="24"/>
        </w:rPr>
        <w:t>集成空调、胎压、影音、蓝牙、车辆故障诊断；前置19寸车载液晶电视，配备有线+无线麦克风。</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5.6 电源系统：2台≥90Ah免维护蓄电池，机械+电磁双总电源开关，高压舱门开启自动切断高压。</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4"/>
        </w:rPr>
        <w:t>6  空调与舒适系统</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★6.1 顶置电动冷暖变频空调，制冷量≥32000Kcal/h，制热量≥30000Kcal/h，集成电池液冷散热；高压电加热前挡除霜，除霜无死角。</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6.2 空气净化：顶窗集成PM2.5过滤、负离子消毒装置，车内无异味，空气循环内外双模式切换。</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4"/>
        </w:rPr>
        <w:t>7  消防安全配置</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bookmarkStart w:id="27" w:name="_GoBack"/>
      <w:r>
        <w:rPr>
          <w:rFonts w:ascii="宋体" w:hAnsi="宋体" w:eastAsia="宋体"/>
          <w:b w:val="0"/>
          <w:sz w:val="24"/>
          <w:highlight w:val="none"/>
        </w:rPr>
        <w:t>★7.1 客舱</w:t>
      </w:r>
      <w:r>
        <w:rPr>
          <w:rFonts w:hint="eastAsia"/>
          <w:b w:val="0"/>
          <w:sz w:val="24"/>
          <w:highlight w:val="none"/>
          <w:lang w:val="en-US" w:eastAsia="zh-CN"/>
        </w:rPr>
        <w:t>分别</w:t>
      </w:r>
      <w:r>
        <w:rPr>
          <w:rFonts w:ascii="宋体" w:hAnsi="宋体" w:eastAsia="宋体"/>
          <w:b w:val="0"/>
          <w:sz w:val="24"/>
          <w:highlight w:val="none"/>
        </w:rPr>
        <w:t>配备</w:t>
      </w:r>
      <w:r>
        <w:rPr>
          <w:rFonts w:hint="eastAsia"/>
          <w:b w:val="0"/>
          <w:sz w:val="24"/>
          <w:highlight w:val="none"/>
          <w:lang w:val="en-US" w:eastAsia="zh-CN"/>
        </w:rPr>
        <w:t>1具</w:t>
      </w:r>
      <w:r>
        <w:rPr>
          <w:rFonts w:ascii="宋体" w:hAnsi="宋体" w:eastAsia="宋体"/>
          <w:b w:val="0"/>
          <w:sz w:val="24"/>
          <w:highlight w:val="none"/>
        </w:rPr>
        <w:t>4kgABC干粉不锈钢灭火器</w:t>
      </w:r>
      <w:r>
        <w:rPr>
          <w:rFonts w:hint="eastAsia"/>
          <w:b w:val="0"/>
          <w:sz w:val="24"/>
          <w:highlight w:val="none"/>
          <w:lang w:val="en-US" w:eastAsia="zh-CN"/>
        </w:rPr>
        <w:t>和</w:t>
      </w:r>
      <w:r>
        <w:rPr>
          <w:rFonts w:hint="eastAsia" w:ascii="宋体" w:hAnsi="宋体" w:eastAsia="宋体" w:cs="宋体"/>
          <w:spacing w:val="-6"/>
          <w:kern w:val="0"/>
          <w:sz w:val="24"/>
          <w:szCs w:val="24"/>
          <w:highlight w:val="none"/>
          <w:lang w:val="en-US" w:eastAsia="zh-CN" w:bidi="ar"/>
        </w:rPr>
        <w:t>1具</w:t>
      </w:r>
      <w:r>
        <w:rPr>
          <w:rFonts w:hint="eastAsia" w:ascii="仿宋" w:hAnsi="仿宋" w:eastAsia="仿宋" w:cs="仿宋"/>
          <w:sz w:val="30"/>
          <w:szCs w:val="30"/>
          <w:highlight w:val="none"/>
        </w:rPr>
        <w:t>≥</w:t>
      </w:r>
      <w:r>
        <w:rPr>
          <w:rFonts w:hint="eastAsia" w:ascii="宋体" w:hAnsi="宋体" w:eastAsia="宋体" w:cs="宋体"/>
          <w:spacing w:val="-6"/>
          <w:kern w:val="0"/>
          <w:sz w:val="24"/>
          <w:szCs w:val="24"/>
          <w:highlight w:val="none"/>
          <w:lang w:val="en-US" w:eastAsia="zh-CN" w:bidi="ar"/>
        </w:rPr>
        <w:t>3L</w:t>
      </w:r>
      <w:r>
        <w:rPr>
          <w:rFonts w:hint="eastAsia"/>
          <w:b w:val="0"/>
          <w:sz w:val="24"/>
          <w:highlight w:val="none"/>
          <w:lang w:val="en-US" w:eastAsia="zh-CN"/>
        </w:rPr>
        <w:t>水基型灭火器</w:t>
      </w:r>
      <w:r>
        <w:rPr>
          <w:rFonts w:ascii="宋体" w:hAnsi="宋体" w:eastAsia="宋体"/>
          <w:b w:val="0"/>
          <w:sz w:val="24"/>
          <w:highlight w:val="none"/>
        </w:rPr>
        <w:t>；电池舱、高压电器舱配备独立自动灭火装置</w:t>
      </w:r>
      <w:r>
        <w:rPr>
          <w:rFonts w:hint="eastAsia"/>
          <w:b w:val="0"/>
          <w:sz w:val="24"/>
          <w:highlight w:val="none"/>
          <w:lang w:eastAsia="zh-CN"/>
        </w:rPr>
        <w:t>；</w:t>
      </w:r>
      <w:r>
        <w:rPr>
          <w:rFonts w:hint="eastAsia"/>
          <w:b w:val="0"/>
          <w:sz w:val="24"/>
          <w:highlight w:val="none"/>
          <w:lang w:val="en-US" w:eastAsia="zh-CN"/>
        </w:rPr>
        <w:t>配置</w:t>
      </w:r>
      <w:r>
        <w:rPr>
          <w:rFonts w:ascii="宋体" w:hAnsi="宋体" w:eastAsia="宋体"/>
          <w:b w:val="0"/>
          <w:sz w:val="24"/>
          <w:highlight w:val="none"/>
        </w:rPr>
        <w:t>烟雾声光报警。</w:t>
      </w:r>
    </w:p>
    <w:bookmarkEnd w:id="27"/>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7.2 随车标配三角警示牌、橡胶止轮块2套、全套维修工具。</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4"/>
        </w:rPr>
        <w:t>8  质保专项要求</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 整车质保≥3年或10万公里（先到为准）；车身骨架、三电系统、空压机、铝合金轮辋质保8年。</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2. 质保期内因质量故障报修，供应商24小时响应，5日内完成维修；同一故障7日内重复出现，每次扣除履约保证金1000元；车辆停驶超5日，按1000元/台/日赔付运营损失。</w:t>
      </w:r>
    </w:p>
    <w:p>
      <w:r>
        <w:br w:type="page"/>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rPr>
          <w:highlight w:val="none"/>
        </w:rPr>
      </w:pPr>
      <w:r>
        <w:rPr>
          <w:rFonts w:ascii="黑体" w:hAnsi="黑体" w:eastAsia="黑体"/>
          <w:b/>
          <w:sz w:val="28"/>
          <w:highlight w:val="none"/>
        </w:rPr>
        <w:t>B标段：1台9座中级纯电动营运客车</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2"/>
        <w:rPr>
          <w:highlight w:val="none"/>
        </w:rPr>
      </w:pPr>
      <w:r>
        <w:rPr>
          <w:rFonts w:ascii="宋体" w:hAnsi="宋体" w:eastAsia="宋体"/>
          <w:b/>
          <w:sz w:val="24"/>
          <w:highlight w:val="none"/>
        </w:rPr>
        <w:t>（★为实质性强制条款，负偏离直接废标）</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2"/>
        <w:rPr>
          <w:rFonts w:hint="default" w:eastAsia="黑体"/>
          <w:highlight w:val="none"/>
          <w:lang w:val="en-US" w:eastAsia="zh-CN"/>
        </w:rPr>
      </w:pPr>
      <w:r>
        <w:rPr>
          <w:rFonts w:ascii="黑体" w:hAnsi="黑体" w:eastAsia="黑体"/>
          <w:b/>
          <w:sz w:val="24"/>
          <w:highlight w:val="none"/>
        </w:rPr>
        <w:t>1  整车基础参数</w:t>
      </w:r>
      <w:r>
        <w:rPr>
          <w:rFonts w:hint="eastAsia" w:ascii="黑体" w:hAnsi="黑体" w:eastAsia="黑体"/>
          <w:b/>
          <w:sz w:val="24"/>
          <w:highlight w:val="none"/>
          <w:lang w:eastAsia="zh-CN"/>
        </w:rPr>
        <w:t>（</w:t>
      </w:r>
      <w:r>
        <w:rPr>
          <w:rFonts w:hint="eastAsia" w:ascii="黑体" w:hAnsi="黑体" w:eastAsia="黑体"/>
          <w:b/>
          <w:sz w:val="24"/>
          <w:highlight w:val="none"/>
          <w:lang w:val="en-US" w:eastAsia="zh-CN"/>
        </w:rPr>
        <w:t>车身颜色：黑色）</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★1.1 车型：纯电动轻型营运客车，符合JT/T325中级营运客车评定标准，C1驾驶证可合规驾驶。</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1.2 外形尺寸：车长5200～5500mm，车宽1850～1950mm，车高1950～2300mm（含顶置空调不超2600mm）</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1.3 轴距：3</w:t>
      </w:r>
      <w:r>
        <w:rPr>
          <w:rFonts w:hint="eastAsia"/>
          <w:b w:val="0"/>
          <w:sz w:val="24"/>
          <w:highlight w:val="none"/>
          <w:lang w:val="en-US" w:eastAsia="zh-CN"/>
        </w:rPr>
        <w:t>2</w:t>
      </w:r>
      <w:r>
        <w:rPr>
          <w:rFonts w:ascii="宋体" w:hAnsi="宋体" w:eastAsia="宋体"/>
          <w:b w:val="0"/>
          <w:sz w:val="24"/>
          <w:highlight w:val="none"/>
        </w:rPr>
        <w:t>00～3</w:t>
      </w:r>
      <w:r>
        <w:rPr>
          <w:rFonts w:hint="eastAsia"/>
          <w:b w:val="0"/>
          <w:sz w:val="24"/>
          <w:highlight w:val="none"/>
          <w:lang w:val="en-US" w:eastAsia="zh-CN"/>
        </w:rPr>
        <w:t>3</w:t>
      </w:r>
      <w:r>
        <w:rPr>
          <w:rFonts w:ascii="宋体" w:hAnsi="宋体" w:eastAsia="宋体"/>
          <w:b w:val="0"/>
          <w:sz w:val="24"/>
          <w:highlight w:val="none"/>
        </w:rPr>
        <w:t>00mm；核定载客9人（含驾驶员），合规2+2+2+3座椅布局。</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ascii="宋体" w:hAnsi="宋体" w:eastAsia="宋体"/>
          <w:b w:val="0"/>
          <w:sz w:val="24"/>
          <w:highlight w:val="none"/>
        </w:rPr>
      </w:pPr>
      <w:r>
        <w:rPr>
          <w:rFonts w:ascii="宋体" w:hAnsi="宋体" w:eastAsia="宋体"/>
          <w:b w:val="0"/>
          <w:sz w:val="24"/>
          <w:highlight w:val="none"/>
        </w:rPr>
        <w:t>1.4 质量参数：整备质量≤2</w:t>
      </w:r>
      <w:r>
        <w:rPr>
          <w:rFonts w:hint="eastAsia"/>
          <w:b w:val="0"/>
          <w:sz w:val="24"/>
          <w:highlight w:val="none"/>
          <w:lang w:val="en-US" w:eastAsia="zh-CN"/>
        </w:rPr>
        <w:t>5</w:t>
      </w:r>
      <w:r>
        <w:rPr>
          <w:rFonts w:ascii="宋体" w:hAnsi="宋体" w:eastAsia="宋体"/>
          <w:b w:val="0"/>
          <w:sz w:val="24"/>
          <w:highlight w:val="none"/>
        </w:rPr>
        <w:t>00kg，最大总质量≥</w:t>
      </w:r>
      <w:r>
        <w:rPr>
          <w:rFonts w:hint="eastAsia"/>
          <w:b w:val="0"/>
          <w:sz w:val="24"/>
          <w:highlight w:val="none"/>
          <w:lang w:val="en-US" w:eastAsia="zh-CN"/>
        </w:rPr>
        <w:t>27</w:t>
      </w:r>
      <w:r>
        <w:rPr>
          <w:rFonts w:ascii="宋体" w:hAnsi="宋体" w:eastAsia="宋体"/>
          <w:b w:val="0"/>
          <w:sz w:val="24"/>
          <w:highlight w:val="none"/>
        </w:rPr>
        <w:t>00kg；</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★1.5 最高车速：电子限速100km/h。</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★1.6 CLTC综合续航≥400km，满足全天短途包车营运需求。</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2"/>
        <w:rPr>
          <w:highlight w:val="none"/>
        </w:rPr>
      </w:pPr>
      <w:r>
        <w:rPr>
          <w:rFonts w:ascii="黑体" w:hAnsi="黑体" w:eastAsia="黑体"/>
          <w:b/>
          <w:sz w:val="24"/>
          <w:highlight w:val="none"/>
        </w:rPr>
        <w:t>2  三电系统</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★2.1 电池：磷酸铁锂品牌电池，总容量≥65kWh；液冷智能温控，低温自动预加热、高温散热。</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★2.2 快充性能：直流快充30%-80%SOC时长≤45分钟；交流慢充0-100%≤12小时。</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★2.3 驱动电机：永磁同步后置后驱电机，峰值功率≥100kW，峰值扭矩≥220N·m，。</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★2.</w:t>
      </w:r>
      <w:r>
        <w:rPr>
          <w:rFonts w:hint="eastAsia"/>
          <w:b w:val="0"/>
          <w:sz w:val="24"/>
          <w:highlight w:val="none"/>
          <w:lang w:val="en-US" w:eastAsia="zh-CN"/>
        </w:rPr>
        <w:t>4</w:t>
      </w:r>
      <w:r>
        <w:rPr>
          <w:rFonts w:ascii="宋体" w:hAnsi="宋体" w:eastAsia="宋体"/>
          <w:b w:val="0"/>
          <w:sz w:val="24"/>
          <w:highlight w:val="none"/>
        </w:rPr>
        <w:t xml:space="preserve"> 三电质保≥5年/20万公里；动力电池单独质保6年/60万公里。</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2"/>
        <w:rPr>
          <w:highlight w:val="none"/>
        </w:rPr>
      </w:pPr>
      <w:r>
        <w:rPr>
          <w:rFonts w:ascii="黑体" w:hAnsi="黑体" w:eastAsia="黑体"/>
          <w:b/>
          <w:sz w:val="24"/>
          <w:highlight w:val="none"/>
        </w:rPr>
        <w:t>3  底盘、制动、安全底盘配置</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3.1 悬架：前麦弗逊独立悬架，后钢板弹簧承载悬架，前后液压减震器。</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★3.2 制动系统：四轮通风盘制动器，标配ABS+EBD+EBA+ESP车身稳定、TCS牵引力控制、HHC坡道起步辅助、EPB电子驻车。</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★3.3 主动安全预警：标配LDWS车道偏离预警系统。</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3.4 轮胎轮毂：215/60R17</w:t>
      </w:r>
      <w:r>
        <w:rPr>
          <w:rFonts w:hint="eastAsia"/>
          <w:b w:val="0"/>
          <w:sz w:val="24"/>
          <w:highlight w:val="none"/>
          <w:lang w:val="en-US" w:eastAsia="zh-CN"/>
        </w:rPr>
        <w:t xml:space="preserve"> </w:t>
      </w:r>
      <w:r>
        <w:rPr>
          <w:rFonts w:ascii="宋体" w:hAnsi="宋体" w:eastAsia="宋体"/>
          <w:b w:val="0"/>
          <w:sz w:val="24"/>
          <w:highlight w:val="none"/>
        </w:rPr>
        <w:t>载重轮胎，铝合金轮毂。</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2"/>
        <w:rPr>
          <w:highlight w:val="none"/>
        </w:rPr>
      </w:pPr>
      <w:r>
        <w:rPr>
          <w:rFonts w:ascii="黑体" w:hAnsi="黑体" w:eastAsia="黑体"/>
          <w:b/>
          <w:sz w:val="24"/>
          <w:highlight w:val="none"/>
        </w:rPr>
        <w:t>4  车身、内饰、安全逃生</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4.1 车身：高强度笼式安全车身，车门内置防撞钢梁，全车阻燃环保内饰。</w:t>
      </w:r>
    </w:p>
    <w:p>
      <w:pPr>
        <w:keepNext w:val="0"/>
        <w:keepLines w:val="0"/>
        <w:widowControl/>
        <w:suppressLineNumbers w:val="0"/>
        <w:spacing w:after="48" w:afterAutospacing="0"/>
        <w:ind w:left="0" w:firstLine="0"/>
        <w:jc w:val="left"/>
        <w:rPr>
          <w:rFonts w:hint="eastAsia" w:ascii="宋体" w:hAnsi="宋体" w:eastAsia="宋体" w:cs="宋体"/>
          <w:i w:val="0"/>
          <w:iCs w:val="0"/>
          <w:caps w:val="0"/>
          <w:color w:val="111E36"/>
          <w:spacing w:val="0"/>
          <w:sz w:val="24"/>
          <w:szCs w:val="24"/>
          <w:highlight w:val="none"/>
        </w:rPr>
      </w:pPr>
      <w:r>
        <w:rPr>
          <w:rFonts w:ascii="宋体" w:hAnsi="宋体" w:eastAsia="宋体"/>
          <w:b w:val="0"/>
          <w:sz w:val="24"/>
          <w:highlight w:val="none"/>
        </w:rPr>
        <w:t>4.2 座椅：全车皮质独立座椅，带头枕；</w:t>
      </w:r>
      <w:r>
        <w:rPr>
          <w:rFonts w:hint="eastAsia"/>
          <w:b w:val="0"/>
          <w:sz w:val="24"/>
          <w:highlight w:val="none"/>
          <w:lang w:val="en-US" w:eastAsia="zh-CN"/>
        </w:rPr>
        <w:t>主驾驶</w:t>
      </w:r>
      <w:r>
        <w:rPr>
          <w:rFonts w:hint="eastAsia" w:ascii="宋体" w:hAnsi="宋体" w:eastAsia="宋体" w:cs="宋体"/>
          <w:i w:val="0"/>
          <w:iCs w:val="0"/>
          <w:caps w:val="0"/>
          <w:color w:val="111E36"/>
          <w:spacing w:val="0"/>
          <w:kern w:val="0"/>
          <w:sz w:val="24"/>
          <w:szCs w:val="24"/>
          <w:highlight w:val="none"/>
          <w:lang w:val="en-US" w:eastAsia="zh-CN" w:bidi="ar"/>
        </w:rPr>
        <w:t>前后调节，靠背调节，高低调节(2向)</w:t>
      </w:r>
    </w:p>
    <w:p>
      <w:pPr>
        <w:keepNext w:val="0"/>
        <w:keepLines w:val="0"/>
        <w:widowControl/>
        <w:suppressLineNumbers w:val="0"/>
        <w:spacing w:after="48" w:afterAutospacing="0"/>
        <w:ind w:left="0" w:firstLine="0"/>
        <w:jc w:val="left"/>
        <w:rPr>
          <w:highlight w:val="none"/>
        </w:rPr>
      </w:pPr>
      <w:r>
        <w:rPr>
          <w:rFonts w:ascii="宋体" w:hAnsi="宋体" w:eastAsia="宋体"/>
          <w:b w:val="0"/>
          <w:sz w:val="24"/>
          <w:highlight w:val="none"/>
        </w:rPr>
        <w:t>，副驾</w:t>
      </w:r>
      <w:r>
        <w:rPr>
          <w:rFonts w:hint="eastAsia" w:ascii="宋体" w:hAnsi="宋体" w:eastAsia="宋体" w:cs="宋体"/>
          <w:i w:val="0"/>
          <w:iCs w:val="0"/>
          <w:caps w:val="0"/>
          <w:color w:val="111E36"/>
          <w:spacing w:val="0"/>
          <w:kern w:val="0"/>
          <w:sz w:val="24"/>
          <w:szCs w:val="24"/>
          <w:highlight w:val="none"/>
          <w:lang w:val="en-US" w:eastAsia="zh-CN" w:bidi="ar"/>
        </w:rPr>
        <w:t>前后调节，靠背调节</w:t>
      </w:r>
      <w:r>
        <w:rPr>
          <w:rFonts w:ascii="宋体" w:hAnsi="宋体" w:eastAsia="宋体"/>
          <w:b w:val="0"/>
          <w:sz w:val="24"/>
          <w:highlight w:val="none"/>
        </w:rPr>
        <w:t>，中排配备独立扶手；全车三点式限力安全带，主副驾安全带未系报警。</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4.3 门窗：前门一键升降防夹电动车窗，中后排推拉通风窗；电动加热外后视镜，手动防眩目内后视镜；行车自动落锁，后门儿童安全锁。</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★4.4 逃生配置：不少于2把报警安全锤、后窗应急破玻装置；三角警示牌、ISOFIX儿童座椅接口。</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2"/>
        <w:rPr>
          <w:highlight w:val="none"/>
        </w:rPr>
      </w:pPr>
      <w:r>
        <w:rPr>
          <w:rFonts w:ascii="黑体" w:hAnsi="黑体" w:eastAsia="黑体"/>
          <w:b/>
          <w:sz w:val="24"/>
          <w:highlight w:val="none"/>
        </w:rPr>
        <w:t>5  智能电器、营运监控</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5.1 仪表中控：7寸液晶组合仪表+10寸触控中控大屏，多功能皮质方向盘，蓝牙、CarPlay/CarLife手机互联、语音控制空调导航。</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5.2 充电接口：前排2个USB快充，中后排4个USB充电。</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5.3 车载T-BOX：整车OTA升级，营运数据可对接监管平台。</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5.4 灯光：LED</w:t>
      </w:r>
      <w:r>
        <w:rPr>
          <w:rFonts w:hint="eastAsia"/>
          <w:b w:val="0"/>
          <w:sz w:val="24"/>
          <w:highlight w:val="none"/>
          <w:lang w:val="en-US" w:eastAsia="zh-CN"/>
        </w:rPr>
        <w:t>前</w:t>
      </w:r>
      <w:r>
        <w:rPr>
          <w:rFonts w:ascii="宋体" w:hAnsi="宋体" w:eastAsia="宋体"/>
          <w:b w:val="0"/>
          <w:sz w:val="24"/>
          <w:highlight w:val="none"/>
        </w:rPr>
        <w:t>大灯、日间行车灯、前后雾灯、车内分段阅读灯、高位制动灯。</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5.5 影像系统：倒车影像，带距离辅助标线。</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2"/>
        <w:rPr>
          <w:highlight w:val="none"/>
        </w:rPr>
      </w:pPr>
      <w:r>
        <w:rPr>
          <w:rFonts w:ascii="黑体" w:hAnsi="黑体" w:eastAsia="黑体"/>
          <w:b/>
          <w:sz w:val="24"/>
          <w:highlight w:val="none"/>
        </w:rPr>
        <w:t>6  空调系统</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6.1 前后排独立空调，PTC电加热暖风，全车全覆盖出风口；空调滤芯带PM2.5净化功能。</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2"/>
        <w:rPr>
          <w:highlight w:val="none"/>
        </w:rPr>
      </w:pPr>
      <w:r>
        <w:rPr>
          <w:rFonts w:ascii="黑体" w:hAnsi="黑体" w:eastAsia="黑体"/>
          <w:b/>
          <w:sz w:val="24"/>
          <w:highlight w:val="none"/>
        </w:rPr>
        <w:t>7  整车质保与售后</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highlight w:val="none"/>
        </w:rPr>
      </w:pPr>
      <w:r>
        <w:rPr>
          <w:rFonts w:ascii="宋体" w:hAnsi="宋体" w:eastAsia="宋体"/>
          <w:b w:val="0"/>
          <w:sz w:val="24"/>
          <w:highlight w:val="none"/>
        </w:rPr>
        <w:t>1. 整车质保≥5年/10万公里（先到为准）；</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eastAsia="宋体"/>
          <w:highlight w:val="none"/>
          <w:lang w:val="en-US" w:eastAsia="zh-CN"/>
        </w:rPr>
      </w:pPr>
      <w:r>
        <w:rPr>
          <w:rFonts w:ascii="宋体" w:hAnsi="宋体" w:eastAsia="宋体"/>
          <w:b w:val="0"/>
          <w:sz w:val="24"/>
          <w:highlight w:val="none"/>
        </w:rPr>
        <w:t>2. 福建省内24小时救援，厦门区域2小时到场维修</w:t>
      </w:r>
      <w:r>
        <w:rPr>
          <w:rFonts w:hint="eastAsia"/>
          <w:b w:val="0"/>
          <w:sz w:val="24"/>
          <w:highlight w:val="none"/>
          <w:lang w:val="en-US" w:eastAsia="zh-CN"/>
        </w:rPr>
        <w:t>.</w:t>
      </w:r>
    </w:p>
    <w:p>
      <w:pPr>
        <w:keepNext w:val="0"/>
        <w:keepLines w:val="0"/>
        <w:pageBreakBefore w:val="0"/>
        <w:widowControl/>
        <w:kinsoku/>
        <w:wordWrap/>
        <w:overflowPunct/>
        <w:topLinePunct w:val="0"/>
        <w:autoSpaceDE/>
        <w:autoSpaceDN/>
        <w:bidi w:val="0"/>
        <w:adjustRightInd/>
        <w:snapToGrid/>
        <w:spacing w:after="0" w:line="360" w:lineRule="auto"/>
        <w:textAlignment w:val="auto"/>
      </w:pPr>
      <w:r>
        <w:br w:type="page"/>
      </w:r>
    </w:p>
    <w:p>
      <w:pPr>
        <w:jc w:val="center"/>
        <w:outlineLvl w:val="0"/>
      </w:pPr>
      <w:bookmarkStart w:id="11" w:name="_Toc11891"/>
      <w:bookmarkStart w:id="12" w:name="OLE_LINK2"/>
      <w:r>
        <w:rPr>
          <w:rFonts w:ascii="黑体" w:hAnsi="黑体" w:eastAsia="黑体"/>
          <w:b/>
          <w:sz w:val="44"/>
        </w:rPr>
        <w:t>第五章  拟签订采购合同</w:t>
      </w:r>
      <w:bookmarkEnd w:id="11"/>
    </w:p>
    <w:p>
      <w:pPr>
        <w:keepNext w:val="0"/>
        <w:keepLines w:val="0"/>
        <w:pageBreakBefore w:val="0"/>
        <w:widowControl/>
        <w:kinsoku/>
        <w:wordWrap/>
        <w:overflowPunct/>
        <w:topLinePunct w:val="0"/>
        <w:autoSpaceDE/>
        <w:autoSpaceDN/>
        <w:bidi w:val="0"/>
        <w:adjustRightInd/>
        <w:snapToGrid/>
        <w:spacing w:after="0" w:line="360" w:lineRule="auto"/>
        <w:textAlignment w:val="auto"/>
      </w:pP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8"/>
        </w:rPr>
        <w:t>第一节  通用条款</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 合同主体：甲方（厦门公交集团鹭驰交通有限公司）、乙方（中标供应商）；合同效力包含招标文件、投标文件、澄清、成交通知书。</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2. 交付期限：</w:t>
      </w:r>
      <w:r>
        <w:rPr>
          <w:rFonts w:hint="eastAsia"/>
          <w:b w:val="0"/>
          <w:sz w:val="24"/>
          <w:lang w:val="en-US" w:eastAsia="zh-CN"/>
        </w:rPr>
        <w:t>合同签订45日历日内</w:t>
      </w:r>
      <w:r>
        <w:rPr>
          <w:rFonts w:ascii="宋体" w:hAnsi="宋体" w:eastAsia="宋体"/>
          <w:b w:val="0"/>
          <w:sz w:val="24"/>
        </w:rPr>
        <w:t>全部车辆完成</w:t>
      </w:r>
      <w:r>
        <w:rPr>
          <w:rFonts w:hint="eastAsia"/>
          <w:b w:val="0"/>
          <w:sz w:val="24"/>
          <w:lang w:eastAsia="zh-CN"/>
        </w:rPr>
        <w:t>车辆注册登记</w:t>
      </w:r>
      <w:r>
        <w:rPr>
          <w:rFonts w:ascii="宋体" w:hAnsi="宋体" w:eastAsia="宋体"/>
          <w:b w:val="0"/>
          <w:sz w:val="24"/>
        </w:rPr>
        <w:t>交付，逾期每日按标段总价0.05%支付违约金，逾期超15日甲方有权解除合同并收取20%违约金。</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3. 质量责任：交付车辆必须全新原厂，若为翻新车、事故车、库存车，甲方可选择：①免费更换整车+支付标段总价20%违约金；②解除合同、全额退款+20%违约金；因车辆缺陷造成人员、财产损失，乙方全额赔偿。</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4. 质保、维修、赔付规则：同第二章G条款售后约定。</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pPr>
      <w:r>
        <w:rPr>
          <w:rFonts w:ascii="黑体" w:hAnsi="黑体" w:eastAsia="黑体"/>
          <w:b/>
          <w:sz w:val="28"/>
        </w:rPr>
        <w:t>第二节  专用条款</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eastAsia="宋体"/>
          <w:b w:val="0"/>
          <w:bCs w:val="0"/>
          <w:highlight w:val="none"/>
          <w:lang w:val="en-US" w:eastAsia="zh-CN"/>
        </w:rPr>
      </w:pPr>
      <w:r>
        <w:rPr>
          <w:rFonts w:ascii="宋体" w:hAnsi="宋体" w:eastAsia="宋体"/>
          <w:b w:val="0"/>
          <w:sz w:val="24"/>
          <w:highlight w:val="none"/>
        </w:rPr>
        <w:t>1. 付款方式：</w:t>
      </w:r>
      <w:r>
        <w:rPr>
          <w:rFonts w:hint="eastAsia"/>
          <w:b w:val="0"/>
          <w:sz w:val="24"/>
          <w:highlight w:val="none"/>
          <w:lang w:val="en-US" w:eastAsia="zh-CN"/>
        </w:rPr>
        <w:t>A标段</w:t>
      </w:r>
      <w:r>
        <w:rPr>
          <w:rFonts w:hint="eastAsia"/>
          <w:b w:val="0"/>
          <w:bCs w:val="0"/>
          <w:sz w:val="24"/>
          <w:highlight w:val="none"/>
          <w:lang w:val="en-US" w:eastAsia="zh-CN"/>
        </w:rPr>
        <w:t>48座</w:t>
      </w:r>
      <w:r>
        <w:rPr>
          <w:rFonts w:ascii="宋体" w:hAnsi="宋体" w:eastAsia="宋体"/>
          <w:b w:val="0"/>
          <w:bCs w:val="0"/>
          <w:sz w:val="24"/>
          <w:highlight w:val="none"/>
        </w:rPr>
        <w:t>30%预付款→30%验收款→40%六个月尾款；</w:t>
      </w:r>
      <w:r>
        <w:rPr>
          <w:rFonts w:hint="eastAsia"/>
          <w:b w:val="0"/>
          <w:bCs w:val="0"/>
          <w:sz w:val="24"/>
          <w:highlight w:val="none"/>
          <w:lang w:val="en-US" w:eastAsia="zh-CN"/>
        </w:rPr>
        <w:t>B标段9座</w:t>
      </w:r>
      <w:r>
        <w:rPr>
          <w:rFonts w:ascii="宋体" w:hAnsi="宋体" w:eastAsia="宋体"/>
          <w:b w:val="0"/>
          <w:bCs w:val="0"/>
          <w:sz w:val="24"/>
          <w:highlight w:val="none"/>
        </w:rPr>
        <w:t>30%预付款→</w:t>
      </w:r>
      <w:r>
        <w:rPr>
          <w:rFonts w:hint="eastAsia"/>
          <w:b w:val="0"/>
          <w:bCs w:val="0"/>
          <w:sz w:val="24"/>
          <w:highlight w:val="none"/>
          <w:lang w:val="en-US" w:eastAsia="zh-CN"/>
        </w:rPr>
        <w:t>7</w:t>
      </w:r>
      <w:r>
        <w:rPr>
          <w:rFonts w:ascii="宋体" w:hAnsi="宋体" w:eastAsia="宋体"/>
          <w:b w:val="0"/>
          <w:bCs w:val="0"/>
          <w:sz w:val="24"/>
          <w:highlight w:val="none"/>
        </w:rPr>
        <w:t>0%验收款</w:t>
      </w:r>
      <w:r>
        <w:rPr>
          <w:rFonts w:hint="eastAsia"/>
          <w:b w:val="0"/>
          <w:bCs w:val="0"/>
          <w:sz w:val="24"/>
          <w:highlight w:val="none"/>
          <w:lang w:eastAsia="zh-CN"/>
        </w:rPr>
        <w:t>；</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2. 履约保证金：合同总价5%，质保期满无息返还；</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3. 售后响应：报修24小时对接，5日内维修完毕，逾期按1000元/日赔付；重复故障每次扣1000元保证金；</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4. 争议解决：协商不成，向厦门市湖里区人民法院提起诉讼；</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5. 廉政协议为本合同附件，甲乙双方共同遵守。</w:t>
      </w:r>
    </w:p>
    <w:p/>
    <w:p/>
    <w:p/>
    <w:p/>
    <w:p>
      <w:pPr>
        <w:pStyle w:val="2"/>
      </w:pPr>
    </w:p>
    <w:p/>
    <w:p>
      <w:pPr>
        <w:ind w:firstLine="3520" w:firstLineChars="800"/>
        <w:jc w:val="both"/>
        <w:rPr>
          <w:rFonts w:hint="eastAsia" w:ascii="方正小标宋简体" w:hAnsi="方正小标宋简体" w:eastAsia="方正小标宋简体" w:cs="方正小标宋简体"/>
          <w:b w:val="0"/>
          <w:bCs w:val="0"/>
          <w:color w:val="000000" w:themeColor="text1"/>
          <w:sz w:val="44"/>
          <w:szCs w:val="44"/>
          <w:highlight w:val="none"/>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highlight w:val="none"/>
          <w:lang w:val="en-US" w:eastAsia="zh-CN"/>
          <w14:textFill>
            <w14:solidFill>
              <w14:schemeClr w14:val="tx1"/>
            </w14:solidFill>
          </w14:textFill>
        </w:rPr>
        <w:t>廉政协议</w:t>
      </w:r>
    </w:p>
    <w:p>
      <w:pPr>
        <w:keepNext w:val="0"/>
        <w:keepLines w:val="0"/>
        <w:pageBreakBefore w:val="0"/>
        <w:widowControl w:val="0"/>
        <w:kinsoku/>
        <w:wordWrap/>
        <w:overflowPunct/>
        <w:topLinePunct w:val="0"/>
        <w:autoSpaceDE/>
        <w:autoSpaceDN/>
        <w:bidi w:val="0"/>
        <w:adjustRightInd/>
        <w:snapToGrid w:val="0"/>
        <w:spacing w:line="500" w:lineRule="atLeast"/>
        <w:textAlignment w:val="auto"/>
        <w:rPr>
          <w:rFonts w:hint="eastAsia" w:asciiTheme="minorEastAsia" w:hAnsiTheme="minorEastAsia" w:eastAsiaTheme="minorEastAsia" w:cstheme="minorEastAsia"/>
          <w:sz w:val="28"/>
          <w:szCs w:val="28"/>
        </w:rPr>
      </w:pP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default" w:ascii="宋体" w:hAnsi="宋体" w:eastAsia="宋体"/>
          <w:b w:val="0"/>
          <w:sz w:val="24"/>
          <w:lang w:val="en-US" w:eastAsia="zh-CN"/>
        </w:rPr>
      </w:pPr>
      <w:r>
        <w:rPr>
          <w:rFonts w:hint="eastAsia" w:ascii="宋体" w:hAnsi="宋体" w:eastAsia="宋体"/>
          <w:b w:val="0"/>
          <w:sz w:val="24"/>
        </w:rPr>
        <w:t xml:space="preserve">甲 </w:t>
      </w:r>
      <w:r>
        <w:rPr>
          <w:rFonts w:hint="eastAsia" w:ascii="宋体" w:hAnsi="宋体" w:eastAsia="宋体"/>
          <w:b w:val="0"/>
          <w:sz w:val="24"/>
          <w:lang w:val="en-US" w:eastAsia="zh-CN"/>
        </w:rPr>
        <w:t xml:space="preserve">  </w:t>
      </w:r>
      <w:r>
        <w:rPr>
          <w:rFonts w:hint="eastAsia" w:ascii="宋体" w:hAnsi="宋体" w:eastAsia="宋体"/>
          <w:b w:val="0"/>
          <w:sz w:val="24"/>
        </w:rPr>
        <w:t>方:厦门公交集团鹭驰</w:t>
      </w:r>
      <w:r>
        <w:rPr>
          <w:rFonts w:hint="eastAsia" w:ascii="宋体" w:hAnsi="宋体" w:eastAsia="宋体"/>
          <w:b w:val="0"/>
          <w:sz w:val="24"/>
          <w:lang w:val="en-US" w:eastAsia="zh-CN"/>
        </w:rPr>
        <w:t>交通</w:t>
      </w:r>
      <w:r>
        <w:rPr>
          <w:rFonts w:hint="eastAsia" w:ascii="宋体" w:hAnsi="宋体" w:eastAsia="宋体"/>
          <w:b w:val="0"/>
          <w:sz w:val="24"/>
        </w:rPr>
        <w:t>有限公司</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default" w:ascii="宋体" w:hAnsi="宋体" w:eastAsia="宋体"/>
          <w:b w:val="0"/>
          <w:sz w:val="24"/>
          <w:lang w:val="en-US" w:eastAsia="zh-CN"/>
        </w:rPr>
      </w:pPr>
      <w:r>
        <w:rPr>
          <w:rFonts w:hint="eastAsia" w:ascii="宋体" w:hAnsi="宋体" w:eastAsia="宋体"/>
          <w:b w:val="0"/>
          <w:sz w:val="24"/>
        </w:rPr>
        <w:t xml:space="preserve">地 </w:t>
      </w:r>
      <w:r>
        <w:rPr>
          <w:rFonts w:hint="eastAsia" w:ascii="宋体" w:hAnsi="宋体" w:eastAsia="宋体"/>
          <w:b w:val="0"/>
          <w:sz w:val="24"/>
          <w:lang w:val="en-US" w:eastAsia="zh-CN"/>
        </w:rPr>
        <w:t xml:space="preserve">  </w:t>
      </w:r>
      <w:r>
        <w:rPr>
          <w:rFonts w:hint="eastAsia" w:ascii="宋体" w:hAnsi="宋体" w:eastAsia="宋体"/>
          <w:b w:val="0"/>
          <w:sz w:val="24"/>
        </w:rPr>
        <w:t>址:厦门市</w:t>
      </w:r>
      <w:r>
        <w:rPr>
          <w:rFonts w:hint="eastAsia" w:ascii="宋体" w:hAnsi="宋体" w:eastAsia="宋体"/>
          <w:b w:val="0"/>
          <w:sz w:val="24"/>
          <w:lang w:val="en-US" w:eastAsia="zh-CN"/>
        </w:rPr>
        <w:t>湖里区金湖路5号之三</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rPr>
      </w:pPr>
      <w:r>
        <w:rPr>
          <w:rFonts w:hint="eastAsia" w:ascii="宋体" w:hAnsi="宋体" w:eastAsia="宋体"/>
          <w:b w:val="0"/>
          <w:sz w:val="24"/>
          <w:lang w:eastAsia="zh-CN"/>
        </w:rPr>
        <w:t>乙</w:t>
      </w:r>
      <w:r>
        <w:rPr>
          <w:rFonts w:hint="eastAsia" w:ascii="宋体" w:hAnsi="宋体" w:eastAsia="宋体"/>
          <w:b w:val="0"/>
          <w:sz w:val="24"/>
          <w:lang w:val="en-US" w:eastAsia="zh-CN"/>
        </w:rPr>
        <w:t xml:space="preserve">   </w:t>
      </w:r>
      <w:r>
        <w:rPr>
          <w:rFonts w:hint="eastAsia" w:ascii="宋体" w:hAnsi="宋体" w:eastAsia="宋体"/>
          <w:b w:val="0"/>
          <w:sz w:val="24"/>
        </w:rPr>
        <w:t>方:</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rPr>
      </w:pPr>
      <w:r>
        <w:rPr>
          <w:rFonts w:hint="eastAsia" w:ascii="宋体" w:hAnsi="宋体" w:eastAsia="宋体"/>
          <w:b w:val="0"/>
          <w:sz w:val="24"/>
        </w:rPr>
        <w:t xml:space="preserve">地 </w:t>
      </w:r>
      <w:r>
        <w:rPr>
          <w:rFonts w:hint="eastAsia" w:ascii="宋体" w:hAnsi="宋体" w:eastAsia="宋体"/>
          <w:b w:val="0"/>
          <w:sz w:val="24"/>
          <w:lang w:val="en-US" w:eastAsia="zh-CN"/>
        </w:rPr>
        <w:t xml:space="preserve">  </w:t>
      </w:r>
      <w:r>
        <w:rPr>
          <w:rFonts w:hint="eastAsia" w:ascii="宋体" w:hAnsi="宋体" w:eastAsia="宋体"/>
          <w:b w:val="0"/>
          <w:sz w:val="24"/>
        </w:rPr>
        <w:t>址:</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 xml:space="preserve">   </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为加强廉政建设，规范采购过程中的各项活动，防止发生各种谋取不当利益的违法违纪行为，根据国家有关法律法规和廉政建设有关规定，特订立本廉政协议。</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第一条 双方的责任</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（一）应严格遵守国家关于采购有关法律、法规相关政策以及廉政建设的各项规定。</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（二）严格执行合同文件，自觉按合同履行。</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（三）业务活动坚持公开、公平、公正、诚信、透明的原则（法律法规及合同文件另有规定或属于商业秘密除外），不得为获取不正当的利益，损害国家、集体和对方利益，不得违反相关规章制度。</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（四）发现对方在业务活动中有违规、违纪、违法行为的，应及时提醒对方，情节严重的，应向其上级主管部门或纪检监察、司法等有关机关举报。</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第二条 甲方责任</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在采购活动实施的事前、事中、事后，甲方及相关工作人员应遵守以下规定：</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（一）不准向乙方和相关单位索要或接受回扣、礼金、有价证券、贵重物品和好处费、感谢费等。</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（二）不准乙方和相关单位报销任何应由甲方或甲方个人承担的费用。</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（三）不准要求、暗示或接受乙方和相关单位为其装修住房、婚丧嫁娶、配偶子女的工作安排以及出国(境)、旅游等提供方便。</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（四）不准参加乙方和相关单位有可能影响采购公正的宴请、健身、娱乐等活动。</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（五）甲方工作人员配偶、子女等不得参与与甲方采购业务有关经济活动。</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第三条 乙方责任</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乙方及相关人员应按照有关法律法规和程序开展采购工作，严格执行采购有关法律法规、政策，并遵守以下规定：</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（一）不准以任何理由向甲方及其工作人员索要、接受或赠送礼金、有价证券、贵重物品及回扣、好处费、感谢费等。</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（二）不准以任何理由为甲方和相关单位报销应由其或个人自行承担的费用。</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（三）不准接受或暗示为甲方、相关单位或个人装修住房、婚丧嫁娶、配偶子女的工作安排以及出国(境)、旅游等提供方便。</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（四）不准以任何理由为甲方、相关单位或个人组织有可能影响采购公正的宴请、健身、娱乐等活动。</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default" w:ascii="宋体" w:hAnsi="宋体" w:eastAsia="宋体"/>
          <w:b w:val="0"/>
          <w:sz w:val="24"/>
          <w:lang w:val="en-US" w:eastAsia="zh-CN"/>
        </w:rPr>
      </w:pPr>
      <w:r>
        <w:rPr>
          <w:rFonts w:hint="eastAsia" w:ascii="宋体" w:hAnsi="宋体" w:eastAsia="宋体"/>
          <w:b w:val="0"/>
          <w:sz w:val="24"/>
          <w:lang w:val="en-US" w:eastAsia="zh-CN"/>
        </w:rPr>
        <w:t>（五）不准实施其他违法违纪行为。</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第四条 违约责任</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一）甲方工作人员有违反本廉政条款第一、二条责任行为的，按照管理权限，依据有关法律法规和规定给予党纪、政纪处分或组织处理；涉嫌犯罪的，移交司法机关追究刑事责任；给乙方单位造成经济损失的，应予以赔偿。</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二）乙方工作人员有违反本廉政条款第一、三条责任行为的，按照管理权限，依据有关法律法规和规定给予党纪、政纪处分或组织处理；涉嫌犯罪的，移交司法机关追究刑事责任；给甲方单位造成经济损失的，应予以赔偿。</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第五条 其他</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本廉政条款为</w:t>
      </w:r>
      <w:r>
        <w:rPr>
          <w:rFonts w:hint="eastAsia" w:ascii="宋体" w:hAnsi="宋体" w:eastAsia="宋体"/>
          <w:b w:val="0"/>
          <w:sz w:val="24"/>
          <w:u w:val="single"/>
          <w:lang w:val="en-US" w:eastAsia="zh-CN"/>
        </w:rPr>
        <w:t xml:space="preserve">                      </w:t>
      </w:r>
      <w:r>
        <w:rPr>
          <w:rFonts w:hint="eastAsia" w:ascii="宋体" w:hAnsi="宋体" w:eastAsia="宋体"/>
          <w:b w:val="0"/>
          <w:sz w:val="24"/>
          <w:lang w:val="en-US" w:eastAsia="zh-CN"/>
        </w:rPr>
        <w:t>采购合同的附件，与前述合同具有同等法律效力。</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（以下无内容）</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default" w:ascii="宋体" w:hAnsi="宋体" w:eastAsia="宋体"/>
          <w:b w:val="0"/>
          <w:sz w:val="24"/>
          <w:lang w:val="en-US" w:eastAsia="zh-CN"/>
        </w:rPr>
      </w:pPr>
      <w:r>
        <w:rPr>
          <w:rFonts w:hint="eastAsia" w:ascii="宋体" w:hAnsi="宋体" w:eastAsia="宋体"/>
          <w:b w:val="0"/>
          <w:sz w:val="24"/>
          <w:lang w:val="en-US" w:eastAsia="zh-CN"/>
        </w:rPr>
        <w:t xml:space="preserve"> </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甲方（盖章）：                   乙方（盖章）：</w:t>
      </w:r>
    </w:p>
    <w:p>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b w:val="0"/>
          <w:sz w:val="24"/>
          <w:lang w:val="en-US" w:eastAsia="zh-CN"/>
        </w:rPr>
      </w:pP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hint="eastAsia" w:ascii="宋体" w:hAnsi="宋体" w:eastAsia="宋体"/>
          <w:b w:val="0"/>
          <w:sz w:val="24"/>
          <w:lang w:val="en-US" w:eastAsia="zh-CN"/>
        </w:rPr>
        <w:t xml:space="preserve">                                     签订日期：    年   月   日</w:t>
      </w:r>
      <w:bookmarkEnd w:id="12"/>
      <w:r>
        <w:br w:type="page"/>
      </w:r>
    </w:p>
    <w:p>
      <w:pPr>
        <w:jc w:val="center"/>
        <w:outlineLvl w:val="0"/>
      </w:pPr>
      <w:bookmarkStart w:id="13" w:name="_Toc8311"/>
      <w:r>
        <w:rPr>
          <w:rFonts w:ascii="黑体" w:hAnsi="黑体" w:eastAsia="黑体"/>
          <w:b/>
          <w:sz w:val="44"/>
        </w:rPr>
        <w:t>第六章  投标文件格式</w:t>
      </w:r>
      <w:bookmarkEnd w:id="13"/>
    </w:p>
    <w:p/>
    <w:p>
      <w:pPr>
        <w:jc w:val="left"/>
        <w:outlineLvl w:val="0"/>
      </w:pPr>
      <w:bookmarkStart w:id="14" w:name="_Toc8464"/>
      <w:r>
        <w:rPr>
          <w:rFonts w:ascii="黑体" w:hAnsi="黑体" w:eastAsia="黑体"/>
          <w:b/>
          <w:sz w:val="28"/>
        </w:rPr>
        <w:t>格式1  投标函（通用，分标段填写）</w:t>
      </w:r>
      <w:bookmarkEnd w:id="14"/>
    </w:p>
    <w:p>
      <w:pPr>
        <w:spacing w:line="360" w:lineRule="auto"/>
        <w:ind w:firstLine="420"/>
        <w:jc w:val="center"/>
        <w:outlineLvl w:val="1"/>
      </w:pPr>
      <w:r>
        <w:rPr>
          <w:rFonts w:ascii="宋体" w:hAnsi="宋体" w:eastAsia="宋体"/>
          <w:b/>
          <w:sz w:val="24"/>
        </w:rPr>
        <w:t>投 标 函</w:t>
      </w:r>
    </w:p>
    <w:p/>
    <w:p>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4"/>
        </w:rPr>
        <w:t>致：厦门公交集团鹭驰交通有限公司</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我方已全面研读</w:t>
      </w:r>
      <w:r>
        <w:rPr>
          <w:rFonts w:hint="eastAsia"/>
          <w:b w:val="0"/>
          <w:sz w:val="24"/>
          <w:lang w:eastAsia="zh-CN"/>
        </w:rPr>
        <w:t>XMGJLCJT2026-JF001</w:t>
      </w:r>
      <w:r>
        <w:rPr>
          <w:rFonts w:ascii="宋体" w:hAnsi="宋体" w:eastAsia="宋体"/>
          <w:b w:val="0"/>
          <w:sz w:val="24"/>
        </w:rPr>
        <w:t>招标文件全部内容，自愿参与本次采购第____标段投标，郑重作出如下承诺：</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1.我方完全响应招标文件全部商务、技术、质保、交付、售后条款，所有带★强制性条款无负偏离，全部满足采购要求；</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2.我方投标包干总价（含税、运输、</w:t>
      </w:r>
      <w:r>
        <w:rPr>
          <w:rFonts w:hint="eastAsia"/>
          <w:b w:val="0"/>
          <w:sz w:val="24"/>
          <w:lang w:eastAsia="zh-CN"/>
        </w:rPr>
        <w:t>车辆注册登记</w:t>
      </w:r>
      <w:r>
        <w:rPr>
          <w:rFonts w:ascii="宋体" w:hAnsi="宋体" w:eastAsia="宋体"/>
          <w:b w:val="0"/>
          <w:sz w:val="24"/>
        </w:rPr>
        <w:t>、培训、质保全费用）：人民币大写__________元（小写：￥__________万元），报价有效期自投标截止日起90个日历日；</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3.承诺所投车辆为原厂全新整车，出厂不超过6个月，无事故、泡水、改装、库存车，全部资质文件真实有效，若存在虚假材料，自愿没收投标保证金，3年内不得参与贵司所有采购项目，并承担全部法律责任；</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4.若我方中标，收到《中标通知书》7个工作日内签订采购合同，足额缴纳合同总价5%履约保证金，</w:t>
      </w:r>
      <w:r>
        <w:rPr>
          <w:rFonts w:hint="eastAsia"/>
          <w:b w:val="0"/>
          <w:sz w:val="24"/>
          <w:lang w:val="en-US" w:eastAsia="zh-CN"/>
        </w:rPr>
        <w:t>合同签订45日历日内</w:t>
      </w:r>
      <w:r>
        <w:rPr>
          <w:rFonts w:ascii="宋体" w:hAnsi="宋体" w:eastAsia="宋体"/>
          <w:b w:val="0"/>
          <w:sz w:val="24"/>
        </w:rPr>
        <w:t>前完成全部车辆交付、</w:t>
      </w:r>
      <w:r>
        <w:rPr>
          <w:rFonts w:hint="eastAsia"/>
          <w:b w:val="0"/>
          <w:sz w:val="24"/>
          <w:lang w:eastAsia="zh-CN"/>
        </w:rPr>
        <w:t>车辆注册登记</w:t>
      </w:r>
      <w:r>
        <w:rPr>
          <w:rFonts w:ascii="宋体" w:hAnsi="宋体" w:eastAsia="宋体"/>
          <w:b w:val="0"/>
          <w:sz w:val="24"/>
        </w:rPr>
        <w:t>、营运资质验收；</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5.完全接受招标文件保证金、评审、违约赔付、质保售后全部约束条款，无任何异议；</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6.本投标函为投标文件不可分割组成部分，具备同等法律效力。</w:t>
      </w:r>
    </w:p>
    <w:p>
      <w:pPr>
        <w:keepNext w:val="0"/>
        <w:keepLines w:val="0"/>
        <w:pageBreakBefore w:val="0"/>
        <w:widowControl/>
        <w:kinsoku/>
        <w:wordWrap/>
        <w:overflowPunct/>
        <w:topLinePunct w:val="0"/>
        <w:autoSpaceDE/>
        <w:autoSpaceDN/>
        <w:bidi w:val="0"/>
        <w:adjustRightInd/>
        <w:snapToGrid/>
        <w:spacing w:after="0" w:line="360" w:lineRule="auto"/>
        <w:ind w:firstLine="4260" w:firstLineChars="1775"/>
        <w:textAlignment w:val="auto"/>
      </w:pPr>
      <w:r>
        <w:rPr>
          <w:rFonts w:ascii="宋体" w:hAnsi="宋体" w:eastAsia="宋体"/>
          <w:b w:val="0"/>
          <w:sz w:val="24"/>
        </w:rPr>
        <w:t>投标人（加盖单位公章）：________________</w:t>
      </w:r>
    </w:p>
    <w:p>
      <w:pPr>
        <w:keepNext w:val="0"/>
        <w:keepLines w:val="0"/>
        <w:pageBreakBefore w:val="0"/>
        <w:widowControl/>
        <w:kinsoku/>
        <w:wordWrap/>
        <w:overflowPunct/>
        <w:topLinePunct w:val="0"/>
        <w:autoSpaceDE/>
        <w:autoSpaceDN/>
        <w:bidi w:val="0"/>
        <w:adjustRightInd/>
        <w:snapToGrid/>
        <w:spacing w:after="0" w:line="360" w:lineRule="auto"/>
        <w:ind w:firstLine="4260" w:firstLineChars="1775"/>
        <w:textAlignment w:val="auto"/>
      </w:pPr>
      <w:r>
        <w:rPr>
          <w:rFonts w:ascii="宋体" w:hAnsi="宋体" w:eastAsia="宋体"/>
          <w:b w:val="0"/>
          <w:sz w:val="24"/>
        </w:rPr>
        <w:t>法定代表人/授权代表（签字）：____________</w:t>
      </w:r>
    </w:p>
    <w:p>
      <w:pPr>
        <w:keepNext w:val="0"/>
        <w:keepLines w:val="0"/>
        <w:pageBreakBefore w:val="0"/>
        <w:widowControl/>
        <w:kinsoku/>
        <w:wordWrap/>
        <w:overflowPunct/>
        <w:topLinePunct w:val="0"/>
        <w:autoSpaceDE/>
        <w:autoSpaceDN/>
        <w:bidi w:val="0"/>
        <w:adjustRightInd/>
        <w:snapToGrid/>
        <w:spacing w:after="0" w:line="360" w:lineRule="auto"/>
        <w:ind w:firstLine="4260" w:firstLineChars="1775"/>
        <w:textAlignment w:val="auto"/>
      </w:pPr>
      <w:r>
        <w:rPr>
          <w:rFonts w:ascii="宋体" w:hAnsi="宋体" w:eastAsia="宋体"/>
          <w:b w:val="0"/>
          <w:sz w:val="24"/>
        </w:rPr>
        <w:t>日期：2026年____月____日</w:t>
      </w:r>
    </w:p>
    <w:p>
      <w:r>
        <w:br w:type="page"/>
      </w:r>
    </w:p>
    <w:p>
      <w:pPr>
        <w:jc w:val="left"/>
        <w:outlineLvl w:val="0"/>
      </w:pPr>
      <w:bookmarkStart w:id="15" w:name="_Toc27145"/>
      <w:r>
        <w:rPr>
          <w:rFonts w:ascii="黑体" w:hAnsi="黑体" w:eastAsia="黑体"/>
          <w:b/>
          <w:sz w:val="28"/>
        </w:rPr>
        <w:t>格式2  法定代表人身份证明</w:t>
      </w:r>
      <w:bookmarkEnd w:id="15"/>
    </w:p>
    <w:p>
      <w:pPr>
        <w:spacing w:line="360" w:lineRule="auto"/>
        <w:ind w:firstLine="420"/>
        <w:jc w:val="center"/>
        <w:outlineLvl w:val="1"/>
      </w:pPr>
      <w:r>
        <w:rPr>
          <w:rFonts w:ascii="宋体" w:hAnsi="宋体" w:eastAsia="宋体"/>
          <w:b/>
          <w:sz w:val="24"/>
        </w:rPr>
        <w:t>法定代表人身份证明</w:t>
      </w:r>
    </w:p>
    <w:p>
      <w:pPr>
        <w:keepNext w:val="0"/>
        <w:keepLines w:val="0"/>
        <w:pageBreakBefore w:val="0"/>
        <w:widowControl/>
        <w:kinsoku/>
        <w:wordWrap/>
        <w:overflowPunct/>
        <w:topLinePunct w:val="0"/>
        <w:autoSpaceDE/>
        <w:autoSpaceDN/>
        <w:bidi w:val="0"/>
        <w:adjustRightInd/>
        <w:snapToGrid/>
        <w:spacing w:after="0" w:line="360" w:lineRule="auto"/>
        <w:textAlignment w:val="auto"/>
      </w:pP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单位名称：________________________________</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单位统一社会信用代码：____________________</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姓名：__________ 性别：____ 身份证号码：________________________</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系________________________（投标人全称）的法定代表人，职务：__________。</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特此证明。</w:t>
      </w:r>
    </w:p>
    <w:p>
      <w:pPr>
        <w:keepNext w:val="0"/>
        <w:keepLines w:val="0"/>
        <w:pageBreakBefore w:val="0"/>
        <w:widowControl/>
        <w:kinsoku/>
        <w:wordWrap/>
        <w:overflowPunct/>
        <w:topLinePunct w:val="0"/>
        <w:autoSpaceDE/>
        <w:autoSpaceDN/>
        <w:bidi w:val="0"/>
        <w:adjustRightInd/>
        <w:snapToGrid/>
        <w:spacing w:after="0" w:line="360" w:lineRule="auto"/>
        <w:textAlignment w:val="auto"/>
      </w:pP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附：法定代表人身份证正反面复印件（加盖公章）</w:t>
      </w:r>
    </w:p>
    <w:p>
      <w:pPr>
        <w:keepNext w:val="0"/>
        <w:keepLines w:val="0"/>
        <w:pageBreakBefore w:val="0"/>
        <w:widowControl/>
        <w:kinsoku/>
        <w:wordWrap/>
        <w:overflowPunct/>
        <w:topLinePunct w:val="0"/>
        <w:autoSpaceDE/>
        <w:autoSpaceDN/>
        <w:bidi w:val="0"/>
        <w:adjustRightInd/>
        <w:snapToGrid/>
        <w:spacing w:after="0" w:line="360" w:lineRule="auto"/>
        <w:textAlignment w:val="auto"/>
      </w:pPr>
    </w:p>
    <w:p>
      <w:pPr>
        <w:pStyle w:val="2"/>
      </w:pPr>
    </w:p>
    <w:p/>
    <w:p>
      <w:pPr>
        <w:keepNext w:val="0"/>
        <w:keepLines w:val="0"/>
        <w:pageBreakBefore w:val="0"/>
        <w:widowControl/>
        <w:kinsoku/>
        <w:wordWrap/>
        <w:overflowPunct/>
        <w:topLinePunct w:val="0"/>
        <w:autoSpaceDE/>
        <w:autoSpaceDN/>
        <w:bidi w:val="0"/>
        <w:adjustRightInd/>
        <w:snapToGrid/>
        <w:spacing w:after="0" w:line="360" w:lineRule="auto"/>
        <w:ind w:firstLine="5220" w:firstLineChars="2175"/>
        <w:textAlignment w:val="auto"/>
      </w:pPr>
      <w:r>
        <w:rPr>
          <w:rFonts w:ascii="宋体" w:hAnsi="宋体" w:eastAsia="宋体"/>
          <w:b w:val="0"/>
          <w:sz w:val="24"/>
        </w:rPr>
        <w:t>投标人（公章）：________________</w:t>
      </w:r>
    </w:p>
    <w:p>
      <w:pPr>
        <w:keepNext w:val="0"/>
        <w:keepLines w:val="0"/>
        <w:pageBreakBefore w:val="0"/>
        <w:widowControl/>
        <w:kinsoku/>
        <w:wordWrap/>
        <w:overflowPunct/>
        <w:topLinePunct w:val="0"/>
        <w:autoSpaceDE/>
        <w:autoSpaceDN/>
        <w:bidi w:val="0"/>
        <w:adjustRightInd/>
        <w:snapToGrid/>
        <w:spacing w:after="0" w:line="360" w:lineRule="auto"/>
        <w:ind w:firstLine="5280" w:firstLineChars="2200"/>
        <w:textAlignment w:val="auto"/>
      </w:pPr>
      <w:r>
        <w:rPr>
          <w:rFonts w:ascii="宋体" w:hAnsi="宋体" w:eastAsia="宋体"/>
          <w:b w:val="0"/>
          <w:sz w:val="24"/>
        </w:rPr>
        <w:t>日期：2026年____月____日</w:t>
      </w:r>
    </w:p>
    <w:p>
      <w:pPr>
        <w:jc w:val="left"/>
        <w:rPr>
          <w:rFonts w:ascii="黑体" w:hAnsi="黑体" w:eastAsia="黑体"/>
          <w:b/>
          <w:sz w:val="28"/>
        </w:rPr>
      </w:pPr>
    </w:p>
    <w:p>
      <w:pPr>
        <w:jc w:val="left"/>
        <w:rPr>
          <w:rFonts w:ascii="黑体" w:hAnsi="黑体" w:eastAsia="黑体"/>
          <w:b/>
          <w:sz w:val="28"/>
        </w:rPr>
      </w:pPr>
    </w:p>
    <w:p>
      <w:pPr>
        <w:jc w:val="left"/>
        <w:rPr>
          <w:rFonts w:ascii="黑体" w:hAnsi="黑体" w:eastAsia="黑体"/>
          <w:b/>
          <w:sz w:val="28"/>
        </w:rPr>
      </w:pPr>
    </w:p>
    <w:p>
      <w:pPr>
        <w:jc w:val="left"/>
        <w:rPr>
          <w:rFonts w:ascii="黑体" w:hAnsi="黑体" w:eastAsia="黑体"/>
          <w:b/>
          <w:sz w:val="28"/>
        </w:rPr>
      </w:pPr>
    </w:p>
    <w:p>
      <w:pPr>
        <w:jc w:val="left"/>
        <w:rPr>
          <w:rFonts w:ascii="黑体" w:hAnsi="黑体" w:eastAsia="黑体"/>
          <w:b/>
          <w:sz w:val="28"/>
        </w:rPr>
      </w:pPr>
    </w:p>
    <w:p>
      <w:pPr>
        <w:jc w:val="left"/>
        <w:rPr>
          <w:rFonts w:ascii="黑体" w:hAnsi="黑体" w:eastAsia="黑体"/>
          <w:b/>
          <w:sz w:val="28"/>
        </w:rPr>
      </w:pPr>
    </w:p>
    <w:p>
      <w:pPr>
        <w:jc w:val="left"/>
        <w:rPr>
          <w:rFonts w:ascii="黑体" w:hAnsi="黑体" w:eastAsia="黑体"/>
          <w:b/>
          <w:sz w:val="28"/>
        </w:rPr>
      </w:pPr>
    </w:p>
    <w:p>
      <w:pPr>
        <w:jc w:val="left"/>
        <w:rPr>
          <w:rFonts w:ascii="黑体" w:hAnsi="黑体" w:eastAsia="黑体"/>
          <w:b/>
          <w:sz w:val="28"/>
        </w:rPr>
      </w:pPr>
    </w:p>
    <w:p>
      <w:pPr>
        <w:jc w:val="left"/>
        <w:rPr>
          <w:rFonts w:ascii="黑体" w:hAnsi="黑体" w:eastAsia="黑体"/>
          <w:b/>
          <w:sz w:val="28"/>
        </w:rPr>
      </w:pPr>
    </w:p>
    <w:p>
      <w:pPr>
        <w:jc w:val="left"/>
        <w:outlineLvl w:val="0"/>
      </w:pPr>
      <w:bookmarkStart w:id="16" w:name="_Toc705"/>
      <w:r>
        <w:rPr>
          <w:rFonts w:ascii="黑体" w:hAnsi="黑体" w:eastAsia="黑体"/>
          <w:b/>
          <w:sz w:val="28"/>
        </w:rPr>
        <w:t>格式3  法定代表人授权委托书（非法人到场必附）</w:t>
      </w:r>
      <w:bookmarkEnd w:id="16"/>
    </w:p>
    <w:p>
      <w:pPr>
        <w:spacing w:line="360" w:lineRule="auto"/>
        <w:ind w:firstLine="420"/>
        <w:jc w:val="center"/>
        <w:outlineLvl w:val="1"/>
      </w:pPr>
      <w:r>
        <w:rPr>
          <w:rFonts w:ascii="宋体" w:hAnsi="宋体" w:eastAsia="宋体"/>
          <w:b/>
          <w:sz w:val="24"/>
        </w:rPr>
        <w:t>法定代表人授权委托书</w:t>
      </w:r>
    </w:p>
    <w:p/>
    <w:p>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4"/>
        </w:rPr>
        <w:t>本授权声明：</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__________（姓名）系________________________（投标人全称）法定代表人，现授权委托__________（姓名，身份证号：________________________）为我方全权代理人，以我方名义参与</w:t>
      </w:r>
      <w:r>
        <w:rPr>
          <w:rFonts w:hint="eastAsia"/>
          <w:b w:val="0"/>
          <w:sz w:val="24"/>
          <w:lang w:eastAsia="zh-CN"/>
        </w:rPr>
        <w:t>XMGJLCJT2026-JF001</w:t>
      </w:r>
      <w:r>
        <w:rPr>
          <w:rFonts w:ascii="宋体" w:hAnsi="宋体" w:eastAsia="宋体"/>
          <w:b w:val="0"/>
          <w:sz w:val="24"/>
        </w:rPr>
        <w:t>第____标段招标全过程，代理人可办理投标文件递交、答疑澄清、开标签字、询标答复等全部相关事务，其签署文件我方全部认可。</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代理人无转委托权，本委托书有效期自投标之日起至合同质保期满止。</w:t>
      </w:r>
    </w:p>
    <w:p>
      <w:pPr>
        <w:keepNext w:val="0"/>
        <w:keepLines w:val="0"/>
        <w:pageBreakBefore w:val="0"/>
        <w:widowControl/>
        <w:kinsoku/>
        <w:wordWrap/>
        <w:overflowPunct/>
        <w:topLinePunct w:val="0"/>
        <w:autoSpaceDE/>
        <w:autoSpaceDN/>
        <w:bidi w:val="0"/>
        <w:adjustRightInd/>
        <w:snapToGrid/>
        <w:spacing w:after="0" w:line="360" w:lineRule="auto"/>
        <w:textAlignment w:val="auto"/>
      </w:pP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附：授权代理人身份证正反面复印件（加盖公章）</w:t>
      </w:r>
    </w:p>
    <w:p>
      <w:pPr>
        <w:keepNext w:val="0"/>
        <w:keepLines w:val="0"/>
        <w:pageBreakBefore w:val="0"/>
        <w:widowControl/>
        <w:kinsoku/>
        <w:wordWrap/>
        <w:overflowPunct/>
        <w:topLinePunct w:val="0"/>
        <w:autoSpaceDE/>
        <w:autoSpaceDN/>
        <w:bidi w:val="0"/>
        <w:adjustRightInd/>
        <w:snapToGrid/>
        <w:spacing w:after="0" w:line="360" w:lineRule="auto"/>
        <w:textAlignment w:val="auto"/>
      </w:pP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ascii="宋体" w:hAnsi="宋体" w:eastAsia="宋体"/>
          <w:b w:val="0"/>
          <w:sz w:val="24"/>
        </w:rPr>
      </w:pP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ascii="宋体" w:hAnsi="宋体" w:eastAsia="宋体"/>
          <w:b w:val="0"/>
          <w:sz w:val="24"/>
        </w:rPr>
      </w:pPr>
    </w:p>
    <w:p>
      <w:pPr>
        <w:keepNext w:val="0"/>
        <w:keepLines w:val="0"/>
        <w:pageBreakBefore w:val="0"/>
        <w:widowControl/>
        <w:kinsoku/>
        <w:wordWrap/>
        <w:overflowPunct/>
        <w:topLinePunct w:val="0"/>
        <w:autoSpaceDE/>
        <w:autoSpaceDN/>
        <w:bidi w:val="0"/>
        <w:adjustRightInd/>
        <w:snapToGrid/>
        <w:spacing w:after="0" w:line="360" w:lineRule="auto"/>
        <w:ind w:firstLine="4980" w:firstLineChars="2075"/>
        <w:textAlignment w:val="auto"/>
      </w:pPr>
      <w:r>
        <w:rPr>
          <w:rFonts w:ascii="宋体" w:hAnsi="宋体" w:eastAsia="宋体"/>
          <w:b w:val="0"/>
          <w:sz w:val="24"/>
        </w:rPr>
        <w:t>法定代表人（签字）：____________</w:t>
      </w:r>
    </w:p>
    <w:p>
      <w:pPr>
        <w:keepNext w:val="0"/>
        <w:keepLines w:val="0"/>
        <w:pageBreakBefore w:val="0"/>
        <w:widowControl/>
        <w:kinsoku/>
        <w:wordWrap/>
        <w:overflowPunct/>
        <w:topLinePunct w:val="0"/>
        <w:autoSpaceDE/>
        <w:autoSpaceDN/>
        <w:bidi w:val="0"/>
        <w:adjustRightInd/>
        <w:snapToGrid/>
        <w:spacing w:after="0" w:line="360" w:lineRule="auto"/>
        <w:ind w:firstLine="4980" w:firstLineChars="2075"/>
        <w:textAlignment w:val="auto"/>
      </w:pPr>
      <w:r>
        <w:rPr>
          <w:rFonts w:ascii="宋体" w:hAnsi="宋体" w:eastAsia="宋体"/>
          <w:b w:val="0"/>
          <w:sz w:val="24"/>
        </w:rPr>
        <w:t>投标人（公章）：________________</w:t>
      </w:r>
    </w:p>
    <w:p>
      <w:pPr>
        <w:keepNext w:val="0"/>
        <w:keepLines w:val="0"/>
        <w:pageBreakBefore w:val="0"/>
        <w:widowControl/>
        <w:kinsoku/>
        <w:wordWrap/>
        <w:overflowPunct/>
        <w:topLinePunct w:val="0"/>
        <w:autoSpaceDE/>
        <w:autoSpaceDN/>
        <w:bidi w:val="0"/>
        <w:adjustRightInd/>
        <w:snapToGrid/>
        <w:spacing w:after="0" w:line="360" w:lineRule="auto"/>
        <w:ind w:firstLine="4980" w:firstLineChars="2075"/>
        <w:textAlignment w:val="auto"/>
      </w:pPr>
      <w:r>
        <w:rPr>
          <w:rFonts w:ascii="宋体" w:hAnsi="宋体" w:eastAsia="宋体"/>
          <w:b w:val="0"/>
          <w:sz w:val="24"/>
        </w:rPr>
        <w:t>被授权人（签字）：____________</w:t>
      </w:r>
    </w:p>
    <w:p>
      <w:pPr>
        <w:keepNext w:val="0"/>
        <w:keepLines w:val="0"/>
        <w:pageBreakBefore w:val="0"/>
        <w:widowControl/>
        <w:kinsoku/>
        <w:wordWrap/>
        <w:overflowPunct/>
        <w:topLinePunct w:val="0"/>
        <w:autoSpaceDE/>
        <w:autoSpaceDN/>
        <w:bidi w:val="0"/>
        <w:adjustRightInd/>
        <w:snapToGrid/>
        <w:spacing w:after="0" w:line="360" w:lineRule="auto"/>
        <w:ind w:firstLine="4980" w:firstLineChars="2075"/>
        <w:textAlignment w:val="auto"/>
      </w:pPr>
      <w:r>
        <w:rPr>
          <w:rFonts w:ascii="宋体" w:hAnsi="宋体" w:eastAsia="宋体"/>
          <w:b w:val="0"/>
          <w:sz w:val="24"/>
        </w:rPr>
        <w:t>日期：2026年____月____日</w:t>
      </w:r>
    </w:p>
    <w:p>
      <w:r>
        <w:br w:type="page"/>
      </w:r>
    </w:p>
    <w:p>
      <w:pPr>
        <w:jc w:val="left"/>
        <w:outlineLvl w:val="0"/>
      </w:pPr>
      <w:bookmarkStart w:id="17" w:name="_Toc8671"/>
      <w:r>
        <w:rPr>
          <w:rFonts w:ascii="黑体" w:hAnsi="黑体" w:eastAsia="黑体"/>
          <w:b/>
          <w:sz w:val="28"/>
        </w:rPr>
        <w:t>格式4  投标人基本情况表</w:t>
      </w:r>
      <w:bookmarkEnd w:id="17"/>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2268"/>
        <w:gridCol w:w="56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567" w:type="dxa"/>
            <w:shd w:val="clear" w:color="auto" w:fill="FFFFFF" w:themeFill="background1"/>
            <w:vAlign w:val="center"/>
          </w:tcPr>
          <w:p>
            <w:pPr>
              <w:spacing w:after="0" w:line="240" w:lineRule="auto"/>
              <w:jc w:val="center"/>
            </w:pPr>
            <w:r>
              <w:rPr>
                <w:rFonts w:ascii="黑体" w:hAnsi="黑体" w:eastAsia="黑体"/>
                <w:b/>
                <w:sz w:val="21"/>
              </w:rPr>
              <w:t>序号</w:t>
            </w:r>
          </w:p>
        </w:tc>
        <w:tc>
          <w:tcPr>
            <w:tcW w:w="2268" w:type="dxa"/>
            <w:shd w:val="clear" w:color="auto" w:fill="FFFFFF" w:themeFill="background1"/>
            <w:vAlign w:val="center"/>
          </w:tcPr>
          <w:p>
            <w:pPr>
              <w:spacing w:after="0" w:line="240" w:lineRule="auto"/>
              <w:jc w:val="center"/>
            </w:pPr>
            <w:r>
              <w:rPr>
                <w:rFonts w:ascii="黑体" w:hAnsi="黑体" w:eastAsia="黑体"/>
                <w:b/>
                <w:sz w:val="21"/>
              </w:rPr>
              <w:t>项目</w:t>
            </w:r>
          </w:p>
        </w:tc>
        <w:tc>
          <w:tcPr>
            <w:tcW w:w="5669" w:type="dxa"/>
            <w:shd w:val="clear" w:color="auto" w:fill="FFFFFF" w:themeFill="background1"/>
            <w:vAlign w:val="center"/>
          </w:tcPr>
          <w:p>
            <w:pPr>
              <w:spacing w:after="0" w:line="240" w:lineRule="auto"/>
              <w:jc w:val="center"/>
            </w:pPr>
            <w:r>
              <w:rPr>
                <w:rFonts w:ascii="黑体" w:hAnsi="黑体" w:eastAsia="黑体"/>
                <w:b/>
                <w:sz w:val="21"/>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567" w:type="dxa"/>
            <w:vAlign w:val="center"/>
          </w:tcPr>
          <w:p>
            <w:pPr>
              <w:spacing w:after="0" w:line="240" w:lineRule="auto"/>
              <w:jc w:val="center"/>
            </w:pPr>
            <w:r>
              <w:rPr>
                <w:rFonts w:ascii="宋体" w:hAnsi="宋体" w:eastAsia="宋体"/>
                <w:sz w:val="21"/>
              </w:rPr>
              <w:t>1</w:t>
            </w:r>
          </w:p>
        </w:tc>
        <w:tc>
          <w:tcPr>
            <w:tcW w:w="2268" w:type="dxa"/>
            <w:vAlign w:val="center"/>
          </w:tcPr>
          <w:p>
            <w:pPr>
              <w:spacing w:after="0" w:line="240" w:lineRule="auto"/>
              <w:jc w:val="center"/>
            </w:pPr>
            <w:r>
              <w:rPr>
                <w:rFonts w:ascii="宋体" w:hAnsi="宋体" w:eastAsia="宋体"/>
                <w:sz w:val="21"/>
              </w:rPr>
              <w:t>企业全称</w:t>
            </w:r>
          </w:p>
        </w:tc>
        <w:tc>
          <w:tcPr>
            <w:tcW w:w="5669" w:type="dxa"/>
            <w:vAlign w:val="center"/>
          </w:tcPr>
          <w:p>
            <w:pPr>
              <w:spacing w:after="0" w:line="24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567" w:type="dxa"/>
            <w:vAlign w:val="center"/>
          </w:tcPr>
          <w:p>
            <w:pPr>
              <w:spacing w:after="0" w:line="240" w:lineRule="auto"/>
              <w:jc w:val="center"/>
            </w:pPr>
            <w:r>
              <w:rPr>
                <w:rFonts w:ascii="宋体" w:hAnsi="宋体" w:eastAsia="宋体"/>
                <w:sz w:val="21"/>
              </w:rPr>
              <w:t>2</w:t>
            </w:r>
          </w:p>
        </w:tc>
        <w:tc>
          <w:tcPr>
            <w:tcW w:w="2268" w:type="dxa"/>
            <w:vAlign w:val="center"/>
          </w:tcPr>
          <w:p>
            <w:pPr>
              <w:spacing w:after="0" w:line="240" w:lineRule="auto"/>
              <w:jc w:val="center"/>
            </w:pPr>
            <w:r>
              <w:rPr>
                <w:rFonts w:ascii="宋体" w:hAnsi="宋体" w:eastAsia="宋体"/>
                <w:sz w:val="21"/>
              </w:rPr>
              <w:t>统一社会信用代码</w:t>
            </w:r>
          </w:p>
        </w:tc>
        <w:tc>
          <w:tcPr>
            <w:tcW w:w="5669" w:type="dxa"/>
            <w:vAlign w:val="center"/>
          </w:tcPr>
          <w:p>
            <w:pPr>
              <w:spacing w:after="0" w:line="24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567" w:type="dxa"/>
            <w:vAlign w:val="center"/>
          </w:tcPr>
          <w:p>
            <w:pPr>
              <w:spacing w:after="0" w:line="240" w:lineRule="auto"/>
              <w:jc w:val="center"/>
            </w:pPr>
            <w:r>
              <w:rPr>
                <w:rFonts w:ascii="宋体" w:hAnsi="宋体" w:eastAsia="宋体"/>
                <w:sz w:val="21"/>
              </w:rPr>
              <w:t>3</w:t>
            </w:r>
          </w:p>
        </w:tc>
        <w:tc>
          <w:tcPr>
            <w:tcW w:w="2268" w:type="dxa"/>
            <w:vAlign w:val="center"/>
          </w:tcPr>
          <w:p>
            <w:pPr>
              <w:spacing w:after="0" w:line="240" w:lineRule="auto"/>
              <w:jc w:val="center"/>
            </w:pPr>
            <w:r>
              <w:rPr>
                <w:rFonts w:ascii="宋体" w:hAnsi="宋体" w:eastAsia="宋体"/>
                <w:sz w:val="21"/>
              </w:rPr>
              <w:t>注册地址</w:t>
            </w:r>
          </w:p>
        </w:tc>
        <w:tc>
          <w:tcPr>
            <w:tcW w:w="5669" w:type="dxa"/>
            <w:vAlign w:val="center"/>
          </w:tcPr>
          <w:p>
            <w:pPr>
              <w:spacing w:after="0" w:line="24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567" w:type="dxa"/>
            <w:vAlign w:val="center"/>
          </w:tcPr>
          <w:p>
            <w:pPr>
              <w:spacing w:after="0" w:line="240" w:lineRule="auto"/>
              <w:jc w:val="center"/>
            </w:pPr>
            <w:r>
              <w:rPr>
                <w:rFonts w:ascii="宋体" w:hAnsi="宋体" w:eastAsia="宋体"/>
                <w:sz w:val="21"/>
              </w:rPr>
              <w:t>4</w:t>
            </w:r>
          </w:p>
        </w:tc>
        <w:tc>
          <w:tcPr>
            <w:tcW w:w="2268" w:type="dxa"/>
            <w:vAlign w:val="center"/>
          </w:tcPr>
          <w:p>
            <w:pPr>
              <w:spacing w:after="0" w:line="240" w:lineRule="auto"/>
              <w:jc w:val="center"/>
            </w:pPr>
            <w:r>
              <w:rPr>
                <w:rFonts w:ascii="宋体" w:hAnsi="宋体" w:eastAsia="宋体"/>
                <w:sz w:val="21"/>
              </w:rPr>
              <w:t>法定代表人</w:t>
            </w:r>
          </w:p>
        </w:tc>
        <w:tc>
          <w:tcPr>
            <w:tcW w:w="5669" w:type="dxa"/>
            <w:vAlign w:val="center"/>
          </w:tcPr>
          <w:p>
            <w:pPr>
              <w:spacing w:after="0" w:line="240" w:lineRule="auto"/>
              <w:jc w:val="center"/>
            </w:pPr>
            <w:r>
              <w:rPr>
                <w:rFonts w:ascii="宋体" w:hAnsi="宋体" w:eastAsia="宋体"/>
                <w:sz w:val="21"/>
              </w:rPr>
              <w:t>姓名：       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567" w:type="dxa"/>
            <w:vAlign w:val="center"/>
          </w:tcPr>
          <w:p>
            <w:pPr>
              <w:spacing w:after="0" w:line="240" w:lineRule="auto"/>
              <w:jc w:val="center"/>
            </w:pPr>
            <w:r>
              <w:rPr>
                <w:rFonts w:ascii="宋体" w:hAnsi="宋体" w:eastAsia="宋体"/>
                <w:sz w:val="21"/>
              </w:rPr>
              <w:t>5</w:t>
            </w:r>
          </w:p>
        </w:tc>
        <w:tc>
          <w:tcPr>
            <w:tcW w:w="2268" w:type="dxa"/>
            <w:vAlign w:val="center"/>
          </w:tcPr>
          <w:p>
            <w:pPr>
              <w:spacing w:after="0" w:line="240" w:lineRule="auto"/>
              <w:jc w:val="center"/>
            </w:pPr>
            <w:r>
              <w:rPr>
                <w:rFonts w:ascii="宋体" w:hAnsi="宋体" w:eastAsia="宋体"/>
                <w:sz w:val="21"/>
              </w:rPr>
              <w:t>投标联系人</w:t>
            </w:r>
          </w:p>
        </w:tc>
        <w:tc>
          <w:tcPr>
            <w:tcW w:w="5669" w:type="dxa"/>
            <w:vAlign w:val="center"/>
          </w:tcPr>
          <w:p>
            <w:pPr>
              <w:spacing w:after="0" w:line="240" w:lineRule="auto"/>
              <w:jc w:val="center"/>
            </w:pPr>
            <w:r>
              <w:rPr>
                <w:rFonts w:ascii="宋体" w:hAnsi="宋体" w:eastAsia="宋体"/>
                <w:sz w:val="21"/>
              </w:rPr>
              <w:t>姓名：       手机：       办公固话：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567" w:type="dxa"/>
            <w:vAlign w:val="center"/>
          </w:tcPr>
          <w:p>
            <w:pPr>
              <w:spacing w:after="0" w:line="240" w:lineRule="auto"/>
              <w:jc w:val="center"/>
            </w:pPr>
            <w:r>
              <w:rPr>
                <w:rFonts w:ascii="宋体" w:hAnsi="宋体" w:eastAsia="宋体"/>
                <w:sz w:val="21"/>
              </w:rPr>
              <w:t>6</w:t>
            </w:r>
          </w:p>
        </w:tc>
        <w:tc>
          <w:tcPr>
            <w:tcW w:w="2268" w:type="dxa"/>
            <w:vAlign w:val="center"/>
          </w:tcPr>
          <w:p>
            <w:pPr>
              <w:spacing w:after="0" w:line="240" w:lineRule="auto"/>
              <w:jc w:val="center"/>
            </w:pPr>
            <w:r>
              <w:rPr>
                <w:rFonts w:ascii="宋体" w:hAnsi="宋体" w:eastAsia="宋体"/>
                <w:sz w:val="21"/>
              </w:rPr>
              <w:t>注册资本</w:t>
            </w:r>
          </w:p>
        </w:tc>
        <w:tc>
          <w:tcPr>
            <w:tcW w:w="5669" w:type="dxa"/>
            <w:vAlign w:val="center"/>
          </w:tcPr>
          <w:p>
            <w:pPr>
              <w:spacing w:after="0" w:line="240" w:lineRule="auto"/>
              <w:jc w:val="center"/>
            </w:pPr>
            <w:r>
              <w:rPr>
                <w:rFonts w:ascii="宋体" w:hAnsi="宋体" w:eastAsia="宋体"/>
                <w:sz w:val="21"/>
              </w:rPr>
              <w:t>____万元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567" w:type="dxa"/>
            <w:vAlign w:val="center"/>
          </w:tcPr>
          <w:p>
            <w:pPr>
              <w:spacing w:after="0" w:line="240" w:lineRule="auto"/>
              <w:jc w:val="center"/>
            </w:pPr>
            <w:r>
              <w:rPr>
                <w:rFonts w:ascii="宋体" w:hAnsi="宋体" w:eastAsia="宋体"/>
                <w:sz w:val="21"/>
              </w:rPr>
              <w:t>7</w:t>
            </w:r>
          </w:p>
        </w:tc>
        <w:tc>
          <w:tcPr>
            <w:tcW w:w="2268" w:type="dxa"/>
            <w:vAlign w:val="center"/>
          </w:tcPr>
          <w:p>
            <w:pPr>
              <w:spacing w:after="0" w:line="240" w:lineRule="auto"/>
              <w:jc w:val="center"/>
            </w:pPr>
            <w:r>
              <w:rPr>
                <w:rFonts w:ascii="宋体" w:hAnsi="宋体" w:eastAsia="宋体"/>
                <w:sz w:val="21"/>
              </w:rPr>
              <w:t>企业成立时间</w:t>
            </w:r>
          </w:p>
        </w:tc>
        <w:tc>
          <w:tcPr>
            <w:tcW w:w="5669" w:type="dxa"/>
            <w:vAlign w:val="center"/>
          </w:tcPr>
          <w:p>
            <w:pPr>
              <w:spacing w:after="0" w:line="24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567" w:type="dxa"/>
            <w:vAlign w:val="center"/>
          </w:tcPr>
          <w:p>
            <w:pPr>
              <w:spacing w:after="0" w:line="240" w:lineRule="auto"/>
              <w:jc w:val="center"/>
            </w:pPr>
            <w:r>
              <w:rPr>
                <w:rFonts w:ascii="宋体" w:hAnsi="宋体" w:eastAsia="宋体"/>
                <w:sz w:val="21"/>
              </w:rPr>
              <w:t>8</w:t>
            </w:r>
          </w:p>
        </w:tc>
        <w:tc>
          <w:tcPr>
            <w:tcW w:w="2268" w:type="dxa"/>
            <w:vAlign w:val="center"/>
          </w:tcPr>
          <w:p>
            <w:pPr>
              <w:spacing w:after="0" w:line="240" w:lineRule="auto"/>
              <w:jc w:val="center"/>
            </w:pPr>
            <w:r>
              <w:rPr>
                <w:rFonts w:ascii="宋体" w:hAnsi="宋体" w:eastAsia="宋体"/>
                <w:sz w:val="21"/>
              </w:rPr>
              <w:t>企业类型</w:t>
            </w:r>
          </w:p>
        </w:tc>
        <w:tc>
          <w:tcPr>
            <w:tcW w:w="5669" w:type="dxa"/>
            <w:vAlign w:val="center"/>
          </w:tcPr>
          <w:p>
            <w:pPr>
              <w:spacing w:after="0" w:line="240" w:lineRule="auto"/>
              <w:jc w:val="center"/>
            </w:pPr>
            <w:r>
              <w:rPr>
                <w:rFonts w:ascii="宋体" w:hAnsi="宋体" w:eastAsia="宋体"/>
                <w:sz w:val="21"/>
              </w:rPr>
              <w:t>整车生产厂□/一级经销商□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567" w:type="dxa"/>
            <w:vAlign w:val="center"/>
          </w:tcPr>
          <w:p>
            <w:pPr>
              <w:spacing w:after="0" w:line="240" w:lineRule="auto"/>
              <w:jc w:val="center"/>
            </w:pPr>
            <w:r>
              <w:rPr>
                <w:rFonts w:ascii="宋体" w:hAnsi="宋体" w:eastAsia="宋体"/>
                <w:sz w:val="21"/>
              </w:rPr>
              <w:t>9</w:t>
            </w:r>
          </w:p>
        </w:tc>
        <w:tc>
          <w:tcPr>
            <w:tcW w:w="2268" w:type="dxa"/>
            <w:vAlign w:val="center"/>
          </w:tcPr>
          <w:p>
            <w:pPr>
              <w:spacing w:after="0" w:line="240" w:lineRule="auto"/>
              <w:jc w:val="center"/>
            </w:pPr>
            <w:r>
              <w:rPr>
                <w:rFonts w:ascii="宋体" w:hAnsi="宋体" w:eastAsia="宋体"/>
                <w:sz w:val="21"/>
              </w:rPr>
              <w:t>经营范围</w:t>
            </w:r>
          </w:p>
        </w:tc>
        <w:tc>
          <w:tcPr>
            <w:tcW w:w="5669" w:type="dxa"/>
            <w:vAlign w:val="center"/>
          </w:tcPr>
          <w:p>
            <w:pPr>
              <w:spacing w:after="0" w:line="240" w:lineRule="auto"/>
              <w:jc w:val="center"/>
            </w:pPr>
            <w:r>
              <w:rPr>
                <w:rFonts w:ascii="宋体" w:hAnsi="宋体" w:eastAsia="宋体"/>
                <w:sz w:val="21"/>
              </w:rPr>
              <w:t>（摘录营业执照客车相关范围）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567" w:type="dxa"/>
            <w:vAlign w:val="center"/>
          </w:tcPr>
          <w:p>
            <w:pPr>
              <w:spacing w:after="0" w:line="240" w:lineRule="auto"/>
              <w:jc w:val="center"/>
              <w:rPr>
                <w:rFonts w:hint="eastAsia" w:eastAsia="宋体"/>
                <w:lang w:eastAsia="zh-CN"/>
              </w:rPr>
            </w:pPr>
            <w:r>
              <w:rPr>
                <w:rFonts w:ascii="宋体" w:hAnsi="宋体" w:eastAsia="宋体"/>
                <w:sz w:val="21"/>
              </w:rPr>
              <w:t>1</w:t>
            </w:r>
            <w:r>
              <w:rPr>
                <w:rFonts w:hint="eastAsia"/>
                <w:sz w:val="21"/>
                <w:lang w:val="en-US" w:eastAsia="zh-CN"/>
              </w:rPr>
              <w:t>0</w:t>
            </w:r>
          </w:p>
        </w:tc>
        <w:tc>
          <w:tcPr>
            <w:tcW w:w="2268" w:type="dxa"/>
            <w:vAlign w:val="center"/>
          </w:tcPr>
          <w:p>
            <w:pPr>
              <w:spacing w:after="0" w:line="240" w:lineRule="auto"/>
              <w:jc w:val="center"/>
            </w:pPr>
            <w:r>
              <w:rPr>
                <w:rFonts w:ascii="宋体" w:hAnsi="宋体" w:eastAsia="宋体"/>
                <w:sz w:val="21"/>
              </w:rPr>
              <w:t>近一年营业收入</w:t>
            </w:r>
          </w:p>
        </w:tc>
        <w:tc>
          <w:tcPr>
            <w:tcW w:w="5669" w:type="dxa"/>
            <w:vAlign w:val="center"/>
          </w:tcPr>
          <w:p>
            <w:pPr>
              <w:spacing w:after="0" w:line="240" w:lineRule="auto"/>
              <w:jc w:val="center"/>
            </w:pPr>
            <w:r>
              <w:rPr>
                <w:rFonts w:ascii="宋体" w:hAnsi="宋体" w:eastAsia="宋体"/>
                <w:sz w:val="21"/>
              </w:rPr>
              <w:t>____万元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567" w:type="dxa"/>
            <w:vAlign w:val="center"/>
          </w:tcPr>
          <w:p>
            <w:pPr>
              <w:spacing w:after="0" w:line="240" w:lineRule="auto"/>
              <w:jc w:val="center"/>
              <w:rPr>
                <w:rFonts w:hint="default" w:eastAsia="宋体"/>
                <w:lang w:val="en-US" w:eastAsia="zh-CN"/>
              </w:rPr>
            </w:pPr>
            <w:r>
              <w:rPr>
                <w:rFonts w:hint="eastAsia"/>
                <w:sz w:val="21"/>
                <w:lang w:val="en-US" w:eastAsia="zh-CN"/>
              </w:rPr>
              <w:t>11</w:t>
            </w:r>
          </w:p>
        </w:tc>
        <w:tc>
          <w:tcPr>
            <w:tcW w:w="2268" w:type="dxa"/>
            <w:vAlign w:val="center"/>
          </w:tcPr>
          <w:p>
            <w:pPr>
              <w:spacing w:after="0" w:line="240" w:lineRule="auto"/>
              <w:jc w:val="center"/>
            </w:pPr>
            <w:r>
              <w:rPr>
                <w:rFonts w:ascii="宋体" w:hAnsi="宋体" w:eastAsia="宋体"/>
                <w:sz w:val="21"/>
              </w:rPr>
              <w:t>三电配套合作品牌</w:t>
            </w:r>
          </w:p>
        </w:tc>
        <w:tc>
          <w:tcPr>
            <w:tcW w:w="5669" w:type="dxa"/>
            <w:vAlign w:val="center"/>
          </w:tcPr>
          <w:p>
            <w:pPr>
              <w:spacing w:after="0" w:line="240" w:lineRule="auto"/>
              <w:jc w:val="center"/>
            </w:pPr>
            <w:r>
              <w:rPr>
                <w:rFonts w:ascii="宋体" w:hAnsi="宋体" w:eastAsia="宋体"/>
                <w:sz w:val="21"/>
              </w:rPr>
              <w:t>电池：       电机：       电控：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567" w:type="dxa"/>
            <w:vAlign w:val="center"/>
          </w:tcPr>
          <w:p>
            <w:pPr>
              <w:spacing w:after="0" w:line="240" w:lineRule="auto"/>
              <w:jc w:val="center"/>
              <w:rPr>
                <w:rFonts w:hint="default" w:eastAsia="宋体"/>
                <w:lang w:val="en-US" w:eastAsia="zh-CN"/>
              </w:rPr>
            </w:pPr>
            <w:r>
              <w:rPr>
                <w:rFonts w:hint="eastAsia"/>
                <w:sz w:val="21"/>
                <w:lang w:val="en-US" w:eastAsia="zh-CN"/>
              </w:rPr>
              <w:t>12</w:t>
            </w:r>
          </w:p>
        </w:tc>
        <w:tc>
          <w:tcPr>
            <w:tcW w:w="2268" w:type="dxa"/>
            <w:vAlign w:val="center"/>
          </w:tcPr>
          <w:p>
            <w:pPr>
              <w:spacing w:after="0" w:line="240" w:lineRule="auto"/>
              <w:jc w:val="center"/>
            </w:pPr>
            <w:r>
              <w:rPr>
                <w:rFonts w:ascii="宋体" w:hAnsi="宋体" w:eastAsia="宋体"/>
                <w:sz w:val="21"/>
              </w:rPr>
              <w:t>同类营运客车近三年供货规模</w:t>
            </w:r>
          </w:p>
        </w:tc>
        <w:tc>
          <w:tcPr>
            <w:tcW w:w="5669" w:type="dxa"/>
            <w:vAlign w:val="center"/>
          </w:tcPr>
          <w:p>
            <w:pPr>
              <w:spacing w:after="0" w:line="240" w:lineRule="auto"/>
              <w:jc w:val="center"/>
            </w:pPr>
            <w:r>
              <w:rPr>
                <w:rFonts w:ascii="宋体" w:hAnsi="宋体" w:eastAsia="宋体"/>
                <w:sz w:val="21"/>
              </w:rPr>
              <w:t>年均供货台数、主要合作客运单位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567" w:type="dxa"/>
            <w:vAlign w:val="center"/>
          </w:tcPr>
          <w:p>
            <w:pPr>
              <w:spacing w:after="0" w:line="240" w:lineRule="auto"/>
              <w:jc w:val="center"/>
              <w:rPr>
                <w:rFonts w:hint="default" w:eastAsia="宋体"/>
                <w:lang w:val="en-US" w:eastAsia="zh-CN"/>
              </w:rPr>
            </w:pPr>
            <w:r>
              <w:rPr>
                <w:rFonts w:hint="eastAsia"/>
                <w:sz w:val="21"/>
                <w:lang w:val="en-US" w:eastAsia="zh-CN"/>
              </w:rPr>
              <w:t>13</w:t>
            </w:r>
          </w:p>
        </w:tc>
        <w:tc>
          <w:tcPr>
            <w:tcW w:w="2268" w:type="dxa"/>
            <w:vAlign w:val="center"/>
          </w:tcPr>
          <w:p>
            <w:pPr>
              <w:spacing w:after="0" w:line="240" w:lineRule="auto"/>
              <w:jc w:val="center"/>
            </w:pPr>
            <w:r>
              <w:rPr>
                <w:rFonts w:ascii="宋体" w:hAnsi="宋体" w:eastAsia="宋体"/>
                <w:sz w:val="21"/>
              </w:rPr>
              <w:t>企业有无失信/重大质量处罚</w:t>
            </w:r>
          </w:p>
        </w:tc>
        <w:tc>
          <w:tcPr>
            <w:tcW w:w="5669" w:type="dxa"/>
            <w:vAlign w:val="center"/>
          </w:tcPr>
          <w:p>
            <w:pPr>
              <w:spacing w:after="0" w:line="240" w:lineRule="auto"/>
              <w:jc w:val="center"/>
            </w:pPr>
            <w:r>
              <w:rPr>
                <w:rFonts w:ascii="宋体" w:hAnsi="宋体" w:eastAsia="宋体"/>
                <w:sz w:val="21"/>
              </w:rPr>
              <w:t>有□ 无□（如有另行附说明）</w:t>
            </w:r>
          </w:p>
        </w:tc>
      </w:tr>
    </w:tbl>
    <w:p/>
    <w:p>
      <w:pPr>
        <w:spacing w:line="360" w:lineRule="auto"/>
        <w:ind w:firstLine="4980" w:firstLineChars="2075"/>
        <w:rPr>
          <w:rFonts w:ascii="宋体" w:hAnsi="宋体" w:eastAsia="宋体"/>
          <w:b w:val="0"/>
          <w:sz w:val="24"/>
        </w:rPr>
      </w:pPr>
    </w:p>
    <w:p>
      <w:pPr>
        <w:spacing w:line="360" w:lineRule="auto"/>
        <w:ind w:firstLine="4980" w:firstLineChars="2075"/>
        <w:rPr>
          <w:rFonts w:ascii="宋体" w:hAnsi="宋体" w:eastAsia="宋体"/>
          <w:b w:val="0"/>
          <w:sz w:val="24"/>
        </w:rPr>
      </w:pPr>
    </w:p>
    <w:p>
      <w:pPr>
        <w:spacing w:line="360" w:lineRule="auto"/>
        <w:ind w:firstLine="4980" w:firstLineChars="2075"/>
      </w:pPr>
      <w:r>
        <w:rPr>
          <w:rFonts w:ascii="宋体" w:hAnsi="宋体" w:eastAsia="宋体"/>
          <w:b w:val="0"/>
          <w:sz w:val="24"/>
        </w:rPr>
        <w:t>投标人（公章）：____________</w:t>
      </w:r>
    </w:p>
    <w:p>
      <w:pPr>
        <w:spacing w:line="360" w:lineRule="auto"/>
        <w:ind w:firstLine="4980" w:firstLineChars="2075"/>
      </w:pPr>
      <w:r>
        <w:rPr>
          <w:rFonts w:ascii="宋体" w:hAnsi="宋体" w:eastAsia="宋体"/>
          <w:b w:val="0"/>
          <w:sz w:val="24"/>
        </w:rPr>
        <w:t>填表人签字：____________</w:t>
      </w:r>
    </w:p>
    <w:p>
      <w:pPr>
        <w:spacing w:line="360" w:lineRule="auto"/>
        <w:ind w:firstLine="4980" w:firstLineChars="2075"/>
        <w:rPr>
          <w:rFonts w:ascii="黑体" w:hAnsi="黑体" w:eastAsia="黑体"/>
          <w:b/>
          <w:sz w:val="28"/>
        </w:rPr>
      </w:pPr>
      <w:r>
        <w:rPr>
          <w:rFonts w:ascii="宋体" w:hAnsi="宋体" w:eastAsia="宋体"/>
          <w:b w:val="0"/>
          <w:sz w:val="24"/>
        </w:rPr>
        <w:t>日期：2026年____月____日</w:t>
      </w:r>
    </w:p>
    <w:p>
      <w:pPr>
        <w:jc w:val="left"/>
        <w:outlineLvl w:val="0"/>
        <w:rPr>
          <w:rFonts w:ascii="黑体" w:hAnsi="黑体" w:eastAsia="黑体"/>
          <w:b/>
          <w:sz w:val="28"/>
        </w:rPr>
      </w:pPr>
      <w:bookmarkStart w:id="18" w:name="_Toc31779"/>
    </w:p>
    <w:p>
      <w:pPr>
        <w:jc w:val="left"/>
        <w:outlineLvl w:val="0"/>
      </w:pPr>
      <w:r>
        <w:rPr>
          <w:rFonts w:ascii="黑体" w:hAnsi="黑体" w:eastAsia="黑体"/>
          <w:b/>
          <w:sz w:val="28"/>
        </w:rPr>
        <w:t>格式5  投标保证金缴纳凭证复印件粘贴页</w:t>
      </w:r>
      <w:bookmarkEnd w:id="18"/>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标段：第____标段</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保证金金额：￥________元</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转账付款账户名称（投标人对公账户）：</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开户行：</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账号：</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转账日期：2026年____月____日</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备注信息</w:t>
      </w:r>
      <w:r>
        <w:rPr>
          <w:rFonts w:ascii="宋体" w:hAnsi="宋体" w:eastAsia="宋体"/>
          <w:b w:val="0"/>
          <w:sz w:val="24"/>
          <w:highlight w:val="none"/>
        </w:rPr>
        <w:t>：</w:t>
      </w:r>
      <w:r>
        <w:rPr>
          <w:rFonts w:hint="eastAsia"/>
          <w:b w:val="0"/>
          <w:sz w:val="24"/>
          <w:highlight w:val="none"/>
          <w:lang w:eastAsia="zh-CN"/>
        </w:rPr>
        <w:t>XMGJLCJT2026-JF001</w:t>
      </w:r>
      <w:r>
        <w:rPr>
          <w:rFonts w:ascii="宋体" w:hAnsi="宋体" w:eastAsia="宋体"/>
          <w:b w:val="0"/>
          <w:sz w:val="24"/>
          <w:highlight w:val="none"/>
        </w:rPr>
        <w:t>-XX标段</w:t>
      </w:r>
      <w:r>
        <w:rPr>
          <w:rFonts w:ascii="宋体" w:hAnsi="宋体" w:eastAsia="宋体"/>
          <w:b w:val="0"/>
          <w:sz w:val="24"/>
        </w:rPr>
        <w:t>保证金</w:t>
      </w:r>
    </w:p>
    <w:p>
      <w:pPr>
        <w:keepNext w:val="0"/>
        <w:keepLines w:val="0"/>
        <w:pageBreakBefore w:val="0"/>
        <w:widowControl/>
        <w:kinsoku/>
        <w:wordWrap/>
        <w:overflowPunct/>
        <w:topLinePunct w:val="0"/>
        <w:autoSpaceDE/>
        <w:autoSpaceDN/>
        <w:bidi w:val="0"/>
        <w:adjustRightInd/>
        <w:snapToGrid/>
        <w:spacing w:after="0" w:line="360" w:lineRule="auto"/>
        <w:textAlignment w:val="auto"/>
      </w:pP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粘贴银行回单复印件（清晰完整，加盖投标人公章）：</w:t>
      </w:r>
    </w:p>
    <w:p/>
    <w:p/>
    <w:p/>
    <w:p/>
    <w:p/>
    <w:p>
      <w:r>
        <w:br w:type="page"/>
      </w:r>
    </w:p>
    <w:p>
      <w:pPr>
        <w:jc w:val="left"/>
        <w:outlineLvl w:val="0"/>
      </w:pPr>
      <w:bookmarkStart w:id="19" w:name="_Toc11311"/>
      <w:r>
        <w:rPr>
          <w:rFonts w:ascii="黑体" w:hAnsi="黑体" w:eastAsia="黑体"/>
          <w:b/>
          <w:sz w:val="28"/>
        </w:rPr>
        <w:t>格式6  技术参数响应偏离对照表（分标段单独填报）</w:t>
      </w:r>
      <w:bookmarkEnd w:id="19"/>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标段：第____标段</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说明：1、★为实质性强制条款，负偏离直接废标；2、响应栏填写"完全满足/正偏离/负偏离"；3、偏离需详细说明并附检测报告、厂家彩页佐证。</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860"/>
        <w:gridCol w:w="1527"/>
        <w:gridCol w:w="1417"/>
        <w:gridCol w:w="850"/>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序号</w:t>
            </w:r>
          </w:p>
        </w:tc>
        <w:tc>
          <w:tcPr>
            <w:tcW w:w="186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招标文件技术条款（标注★）</w:t>
            </w:r>
          </w:p>
        </w:tc>
        <w:tc>
          <w:tcPr>
            <w:tcW w:w="1527"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招标文件技术要求</w:t>
            </w:r>
          </w:p>
        </w:tc>
        <w:tc>
          <w:tcPr>
            <w:tcW w:w="1417"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投标产品实际参数</w:t>
            </w:r>
          </w:p>
        </w:tc>
        <w:tc>
          <w:tcPr>
            <w:tcW w:w="85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响应情况</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偏离详细说明及佐证材料编号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1</w:t>
            </w:r>
          </w:p>
        </w:tc>
        <w:tc>
          <w:tcPr>
            <w:tcW w:w="186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★整车尺寸</w:t>
            </w:r>
          </w:p>
        </w:tc>
        <w:tc>
          <w:tcPr>
            <w:tcW w:w="152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141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85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1701"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2</w:t>
            </w:r>
          </w:p>
        </w:tc>
        <w:tc>
          <w:tcPr>
            <w:tcW w:w="186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★电池容量/防护</w:t>
            </w:r>
          </w:p>
        </w:tc>
        <w:tc>
          <w:tcPr>
            <w:tcW w:w="152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141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85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1701"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3</w:t>
            </w:r>
          </w:p>
        </w:tc>
        <w:tc>
          <w:tcPr>
            <w:tcW w:w="186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★电机功率扭矩</w:t>
            </w:r>
          </w:p>
        </w:tc>
        <w:tc>
          <w:tcPr>
            <w:tcW w:w="152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141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85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1701"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4</w:t>
            </w:r>
          </w:p>
        </w:tc>
        <w:tc>
          <w:tcPr>
            <w:tcW w:w="186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★续航标准</w:t>
            </w:r>
          </w:p>
        </w:tc>
        <w:tc>
          <w:tcPr>
            <w:tcW w:w="152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141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85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1701"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5</w:t>
            </w:r>
          </w:p>
        </w:tc>
        <w:tc>
          <w:tcPr>
            <w:tcW w:w="186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★安全配置（AEBS/DMS/BSD等）</w:t>
            </w:r>
          </w:p>
        </w:tc>
        <w:tc>
          <w:tcPr>
            <w:tcW w:w="152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141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85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1701"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6</w:t>
            </w:r>
          </w:p>
        </w:tc>
        <w:tc>
          <w:tcPr>
            <w:tcW w:w="186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★三电质保年限</w:t>
            </w:r>
          </w:p>
        </w:tc>
        <w:tc>
          <w:tcPr>
            <w:tcW w:w="152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141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85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1701"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7</w:t>
            </w:r>
          </w:p>
        </w:tc>
        <w:tc>
          <w:tcPr>
            <w:tcW w:w="186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空调制冷量</w:t>
            </w:r>
          </w:p>
        </w:tc>
        <w:tc>
          <w:tcPr>
            <w:tcW w:w="152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141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85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1701"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8</w:t>
            </w:r>
          </w:p>
        </w:tc>
        <w:tc>
          <w:tcPr>
            <w:tcW w:w="186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底盘悬架配置</w:t>
            </w:r>
          </w:p>
        </w:tc>
        <w:tc>
          <w:tcPr>
            <w:tcW w:w="152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141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85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1701"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w:t>
            </w:r>
          </w:p>
        </w:tc>
        <w:tc>
          <w:tcPr>
            <w:tcW w:w="186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w:t>
            </w:r>
          </w:p>
        </w:tc>
        <w:tc>
          <w:tcPr>
            <w:tcW w:w="152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w:t>
            </w:r>
          </w:p>
        </w:tc>
        <w:tc>
          <w:tcPr>
            <w:tcW w:w="1417"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w:t>
            </w:r>
          </w:p>
        </w:tc>
        <w:tc>
          <w:tcPr>
            <w:tcW w:w="85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w:t>
            </w:r>
          </w:p>
        </w:tc>
        <w:tc>
          <w:tcPr>
            <w:tcW w:w="1701"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r>
    </w:tbl>
    <w:p>
      <w:pPr>
        <w:keepNext w:val="0"/>
        <w:keepLines w:val="0"/>
        <w:pageBreakBefore w:val="0"/>
        <w:widowControl/>
        <w:kinsoku/>
        <w:wordWrap/>
        <w:overflowPunct/>
        <w:topLinePunct w:val="0"/>
        <w:autoSpaceDE/>
        <w:autoSpaceDN/>
        <w:bidi w:val="0"/>
        <w:adjustRightInd/>
        <w:snapToGrid/>
        <w:spacing w:after="0" w:line="360" w:lineRule="auto"/>
        <w:textAlignment w:val="auto"/>
      </w:pP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ascii="宋体" w:hAnsi="宋体" w:eastAsia="宋体"/>
          <w:b w:val="0"/>
          <w:sz w:val="24"/>
        </w:rPr>
      </w:pP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ascii="宋体" w:hAnsi="宋体" w:eastAsia="宋体"/>
          <w:b w:val="0"/>
          <w:sz w:val="24"/>
        </w:rPr>
      </w:pP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ascii="宋体" w:hAnsi="宋体" w:eastAsia="宋体"/>
          <w:b w:val="0"/>
          <w:sz w:val="24"/>
        </w:rPr>
      </w:pPr>
    </w:p>
    <w:p>
      <w:pPr>
        <w:keepNext w:val="0"/>
        <w:keepLines w:val="0"/>
        <w:pageBreakBefore w:val="0"/>
        <w:widowControl/>
        <w:kinsoku/>
        <w:wordWrap/>
        <w:overflowPunct/>
        <w:topLinePunct w:val="0"/>
        <w:autoSpaceDE/>
        <w:autoSpaceDN/>
        <w:bidi w:val="0"/>
        <w:adjustRightInd/>
        <w:snapToGrid/>
        <w:spacing w:after="0" w:line="360" w:lineRule="auto"/>
        <w:ind w:firstLine="5220" w:firstLineChars="2175"/>
        <w:textAlignment w:val="auto"/>
      </w:pPr>
      <w:r>
        <w:rPr>
          <w:rFonts w:ascii="宋体" w:hAnsi="宋体" w:eastAsia="宋体"/>
          <w:b w:val="0"/>
          <w:sz w:val="24"/>
        </w:rPr>
        <w:t>投标人（公章）：____________</w:t>
      </w:r>
    </w:p>
    <w:p>
      <w:pPr>
        <w:keepNext w:val="0"/>
        <w:keepLines w:val="0"/>
        <w:pageBreakBefore w:val="0"/>
        <w:widowControl/>
        <w:kinsoku/>
        <w:wordWrap/>
        <w:overflowPunct/>
        <w:topLinePunct w:val="0"/>
        <w:autoSpaceDE/>
        <w:autoSpaceDN/>
        <w:bidi w:val="0"/>
        <w:adjustRightInd/>
        <w:snapToGrid/>
        <w:spacing w:after="0" w:line="360" w:lineRule="auto"/>
        <w:ind w:firstLine="5220" w:firstLineChars="2175"/>
        <w:textAlignment w:val="auto"/>
      </w:pPr>
      <w:r>
        <w:rPr>
          <w:rFonts w:ascii="宋体" w:hAnsi="宋体" w:eastAsia="宋体"/>
          <w:b w:val="0"/>
          <w:sz w:val="24"/>
        </w:rPr>
        <w:t>技术负责人签字：____________</w:t>
      </w:r>
    </w:p>
    <w:p>
      <w:pPr>
        <w:keepNext w:val="0"/>
        <w:keepLines w:val="0"/>
        <w:pageBreakBefore w:val="0"/>
        <w:widowControl/>
        <w:kinsoku/>
        <w:wordWrap/>
        <w:overflowPunct/>
        <w:topLinePunct w:val="0"/>
        <w:autoSpaceDE/>
        <w:autoSpaceDN/>
        <w:bidi w:val="0"/>
        <w:adjustRightInd/>
        <w:snapToGrid/>
        <w:spacing w:after="0" w:line="360" w:lineRule="auto"/>
        <w:ind w:firstLine="5220" w:firstLineChars="2175"/>
        <w:textAlignment w:val="auto"/>
      </w:pPr>
      <w:r>
        <w:rPr>
          <w:rFonts w:ascii="宋体" w:hAnsi="宋体" w:eastAsia="宋体"/>
          <w:b w:val="0"/>
          <w:sz w:val="24"/>
        </w:rPr>
        <w:t>日期：2026年____月____日</w:t>
      </w:r>
    </w:p>
    <w:p>
      <w:r>
        <w:br w:type="page"/>
      </w:r>
    </w:p>
    <w:p>
      <w:pPr>
        <w:jc w:val="left"/>
        <w:outlineLvl w:val="0"/>
      </w:pPr>
      <w:bookmarkStart w:id="20" w:name="_Toc28276"/>
      <w:r>
        <w:rPr>
          <w:rFonts w:ascii="黑体" w:hAnsi="黑体" w:eastAsia="黑体"/>
          <w:b/>
          <w:sz w:val="28"/>
        </w:rPr>
        <w:t>格式7  标段报价一览表（单独密封，一式4份）</w:t>
      </w:r>
      <w:bookmarkEnd w:id="20"/>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第____标段报价一览表</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eastAsia="宋体"/>
          <w:lang w:eastAsia="zh-CN"/>
        </w:rPr>
      </w:pPr>
      <w:r>
        <w:rPr>
          <w:rFonts w:ascii="宋体" w:hAnsi="宋体" w:eastAsia="宋体"/>
          <w:b w:val="0"/>
          <w:sz w:val="24"/>
        </w:rPr>
        <w:t>项目编号：</w:t>
      </w:r>
      <w:r>
        <w:rPr>
          <w:rFonts w:hint="eastAsia"/>
          <w:b w:val="0"/>
          <w:sz w:val="24"/>
          <w:lang w:eastAsia="zh-CN"/>
        </w:rPr>
        <w:t>XMGJLCJT2026-JF001</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850"/>
        <w:gridCol w:w="1984"/>
        <w:gridCol w:w="1701"/>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车型</w:t>
            </w:r>
          </w:p>
        </w:tc>
        <w:tc>
          <w:tcPr>
            <w:tcW w:w="85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采购数量（台）</w:t>
            </w:r>
          </w:p>
        </w:tc>
        <w:tc>
          <w:tcPr>
            <w:tcW w:w="1984"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单台含税总价（万元，大写+小写）</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标段合计含税总价（万元）</w:t>
            </w:r>
          </w:p>
        </w:tc>
        <w:tc>
          <w:tcPr>
            <w:tcW w:w="1134"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整车质保承诺</w:t>
            </w:r>
          </w:p>
        </w:tc>
        <w:tc>
          <w:tcPr>
            <w:tcW w:w="1134"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三电质保承诺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48座大型高一纯电客车/9座中级客车</w:t>
            </w:r>
          </w:p>
        </w:tc>
        <w:tc>
          <w:tcPr>
            <w:tcW w:w="850"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p>
        </w:tc>
        <w:tc>
          <w:tcPr>
            <w:tcW w:w="1984"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大写：________</w:t>
            </w:r>
            <w:r>
              <w:rPr>
                <w:rFonts w:ascii="宋体" w:hAnsi="宋体" w:eastAsia="宋体"/>
                <w:sz w:val="21"/>
              </w:rPr>
              <w:br w:type="textWrapping"/>
            </w:r>
            <w:r>
              <w:rPr>
                <w:rFonts w:ascii="宋体" w:hAnsi="宋体" w:eastAsia="宋体"/>
                <w:sz w:val="21"/>
              </w:rPr>
              <w:t xml:space="preserve">小写：￥ </w:t>
            </w:r>
          </w:p>
        </w:tc>
        <w:tc>
          <w:tcPr>
            <w:tcW w:w="1701"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大写：________</w:t>
            </w:r>
            <w:r>
              <w:rPr>
                <w:rFonts w:ascii="宋体" w:hAnsi="宋体" w:eastAsia="宋体"/>
                <w:sz w:val="21"/>
              </w:rPr>
              <w:br w:type="textWrapping"/>
            </w:r>
            <w:r>
              <w:rPr>
                <w:rFonts w:ascii="宋体" w:hAnsi="宋体" w:eastAsia="宋体"/>
                <w:sz w:val="21"/>
              </w:rPr>
              <w:t xml:space="preserve">小写：￥ </w:t>
            </w:r>
          </w:p>
        </w:tc>
        <w:tc>
          <w:tcPr>
            <w:tcW w:w="1134"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整车≥__年/__万公里</w:t>
            </w:r>
          </w:p>
        </w:tc>
        <w:tc>
          <w:tcPr>
            <w:tcW w:w="1134"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sz w:val="21"/>
              </w:rPr>
              <w:t>三电≥__年/__万公里</w:t>
            </w:r>
          </w:p>
        </w:tc>
      </w:tr>
    </w:tbl>
    <w:p>
      <w:pPr>
        <w:keepNext w:val="0"/>
        <w:keepLines w:val="0"/>
        <w:pageBreakBefore w:val="0"/>
        <w:widowControl/>
        <w:kinsoku/>
        <w:wordWrap/>
        <w:overflowPunct/>
        <w:topLinePunct w:val="0"/>
        <w:autoSpaceDE/>
        <w:autoSpaceDN/>
        <w:bidi w:val="0"/>
        <w:adjustRightInd/>
        <w:snapToGrid/>
        <w:spacing w:after="0" w:line="360" w:lineRule="auto"/>
        <w:textAlignment w:val="auto"/>
      </w:pP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报价包含：整车、运输、随车工具、车辆检测、</w:t>
      </w:r>
      <w:r>
        <w:rPr>
          <w:rFonts w:hint="eastAsia"/>
          <w:b w:val="0"/>
          <w:sz w:val="24"/>
          <w:lang w:eastAsia="zh-CN"/>
        </w:rPr>
        <w:t>车辆注册登记</w:t>
      </w:r>
      <w:r>
        <w:rPr>
          <w:rFonts w:ascii="宋体" w:hAnsi="宋体" w:eastAsia="宋体"/>
          <w:b w:val="0"/>
          <w:sz w:val="24"/>
        </w:rPr>
        <w:t>协助、驾驶员/维修培训、全周期质保维修、备件、税费等全部费用，招标人无需额外支付任何款项。</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交付期限：</w:t>
      </w:r>
      <w:r>
        <w:rPr>
          <w:rFonts w:hint="eastAsia"/>
          <w:b w:val="0"/>
          <w:sz w:val="24"/>
          <w:lang w:val="en-US" w:eastAsia="zh-CN"/>
        </w:rPr>
        <w:t>合同签订后45日历日</w:t>
      </w:r>
      <w:r>
        <w:rPr>
          <w:rFonts w:ascii="宋体" w:hAnsi="宋体" w:eastAsia="宋体"/>
          <w:b w:val="0"/>
          <w:sz w:val="24"/>
        </w:rPr>
        <w:t>内完成</w:t>
      </w:r>
      <w:r>
        <w:rPr>
          <w:rFonts w:hint="eastAsia"/>
          <w:b w:val="0"/>
          <w:sz w:val="24"/>
          <w:lang w:eastAsia="zh-CN"/>
        </w:rPr>
        <w:t>车辆注册登记</w:t>
      </w:r>
      <w:r>
        <w:rPr>
          <w:rFonts w:ascii="宋体" w:hAnsi="宋体" w:eastAsia="宋体"/>
          <w:b w:val="0"/>
          <w:sz w:val="24"/>
        </w:rPr>
        <w:t>验收。</w:t>
      </w:r>
    </w:p>
    <w:p>
      <w:pPr>
        <w:keepNext w:val="0"/>
        <w:keepLines w:val="0"/>
        <w:pageBreakBefore w:val="0"/>
        <w:widowControl/>
        <w:kinsoku/>
        <w:wordWrap/>
        <w:overflowPunct/>
        <w:topLinePunct w:val="0"/>
        <w:autoSpaceDE/>
        <w:autoSpaceDN/>
        <w:bidi w:val="0"/>
        <w:adjustRightInd/>
        <w:snapToGrid/>
        <w:spacing w:after="0" w:line="360" w:lineRule="auto"/>
        <w:textAlignment w:val="auto"/>
      </w:pPr>
    </w:p>
    <w:p>
      <w:pPr>
        <w:pStyle w:val="2"/>
      </w:pPr>
    </w:p>
    <w:p/>
    <w:p>
      <w:pPr>
        <w:keepNext w:val="0"/>
        <w:keepLines w:val="0"/>
        <w:pageBreakBefore w:val="0"/>
        <w:widowControl/>
        <w:kinsoku/>
        <w:wordWrap/>
        <w:overflowPunct/>
        <w:topLinePunct w:val="0"/>
        <w:autoSpaceDE/>
        <w:autoSpaceDN/>
        <w:bidi w:val="0"/>
        <w:adjustRightInd/>
        <w:snapToGrid/>
        <w:spacing w:after="0" w:line="360" w:lineRule="auto"/>
        <w:ind w:firstLine="4800" w:firstLineChars="2000"/>
        <w:textAlignment w:val="auto"/>
      </w:pPr>
      <w:r>
        <w:rPr>
          <w:rFonts w:ascii="宋体" w:hAnsi="宋体" w:eastAsia="宋体"/>
          <w:b w:val="0"/>
          <w:sz w:val="24"/>
        </w:rPr>
        <w:t>投标人（公章）：____________</w:t>
      </w:r>
    </w:p>
    <w:p>
      <w:pPr>
        <w:keepNext w:val="0"/>
        <w:keepLines w:val="0"/>
        <w:pageBreakBefore w:val="0"/>
        <w:widowControl/>
        <w:kinsoku/>
        <w:wordWrap/>
        <w:overflowPunct/>
        <w:topLinePunct w:val="0"/>
        <w:autoSpaceDE/>
        <w:autoSpaceDN/>
        <w:bidi w:val="0"/>
        <w:adjustRightInd/>
        <w:snapToGrid/>
        <w:spacing w:after="0" w:line="360" w:lineRule="auto"/>
        <w:ind w:firstLine="4800" w:firstLineChars="2000"/>
        <w:textAlignment w:val="auto"/>
      </w:pPr>
      <w:r>
        <w:rPr>
          <w:rFonts w:ascii="宋体" w:hAnsi="宋体" w:eastAsia="宋体"/>
          <w:b w:val="0"/>
          <w:sz w:val="24"/>
        </w:rPr>
        <w:t>法定代表人/授权代表签字：___________</w:t>
      </w:r>
    </w:p>
    <w:p>
      <w:pPr>
        <w:keepNext w:val="0"/>
        <w:keepLines w:val="0"/>
        <w:pageBreakBefore w:val="0"/>
        <w:widowControl/>
        <w:kinsoku/>
        <w:wordWrap/>
        <w:overflowPunct/>
        <w:topLinePunct w:val="0"/>
        <w:autoSpaceDE/>
        <w:autoSpaceDN/>
        <w:bidi w:val="0"/>
        <w:adjustRightInd/>
        <w:snapToGrid/>
        <w:spacing w:after="0" w:line="360" w:lineRule="auto"/>
        <w:ind w:firstLine="4740" w:firstLineChars="1975"/>
        <w:textAlignment w:val="auto"/>
      </w:pPr>
      <w:r>
        <w:rPr>
          <w:rFonts w:ascii="宋体" w:hAnsi="宋体" w:eastAsia="宋体"/>
          <w:b w:val="0"/>
          <w:sz w:val="24"/>
        </w:rPr>
        <w:t>日期：2026年____月____日</w:t>
      </w:r>
    </w:p>
    <w:p>
      <w:pPr>
        <w:jc w:val="left"/>
        <w:rPr>
          <w:rFonts w:ascii="黑体" w:hAnsi="黑体" w:eastAsia="黑体"/>
          <w:b/>
          <w:sz w:val="28"/>
        </w:rPr>
      </w:pPr>
    </w:p>
    <w:p>
      <w:pPr>
        <w:jc w:val="left"/>
        <w:rPr>
          <w:rFonts w:ascii="黑体" w:hAnsi="黑体" w:eastAsia="黑体"/>
          <w:b/>
          <w:sz w:val="28"/>
        </w:rPr>
      </w:pPr>
    </w:p>
    <w:p>
      <w:pPr>
        <w:jc w:val="left"/>
        <w:rPr>
          <w:rFonts w:ascii="黑体" w:hAnsi="黑体" w:eastAsia="黑体"/>
          <w:b/>
          <w:sz w:val="28"/>
        </w:rPr>
      </w:pPr>
    </w:p>
    <w:p>
      <w:pPr>
        <w:jc w:val="left"/>
        <w:rPr>
          <w:rFonts w:ascii="黑体" w:hAnsi="黑体" w:eastAsia="黑体"/>
          <w:b/>
          <w:sz w:val="28"/>
        </w:rPr>
      </w:pPr>
    </w:p>
    <w:p>
      <w:pPr>
        <w:jc w:val="left"/>
        <w:rPr>
          <w:rFonts w:ascii="黑体" w:hAnsi="黑体" w:eastAsia="黑体"/>
          <w:b/>
          <w:sz w:val="28"/>
        </w:rPr>
      </w:pPr>
    </w:p>
    <w:p>
      <w:pPr>
        <w:jc w:val="left"/>
        <w:rPr>
          <w:rFonts w:ascii="黑体" w:hAnsi="黑体" w:eastAsia="黑体"/>
          <w:b/>
          <w:sz w:val="28"/>
        </w:rPr>
      </w:pPr>
    </w:p>
    <w:p>
      <w:pPr>
        <w:spacing w:line="360" w:lineRule="auto"/>
        <w:jc w:val="left"/>
        <w:outlineLvl w:val="0"/>
      </w:pPr>
      <w:bookmarkStart w:id="21" w:name="_Toc17300"/>
      <w:r>
        <w:rPr>
          <w:rFonts w:ascii="黑体" w:hAnsi="黑体" w:eastAsia="黑体"/>
          <w:b/>
          <w:sz w:val="28"/>
        </w:rPr>
        <w:t>格式8  同类营运客车业绩汇总表</w:t>
      </w:r>
      <w:bookmarkEnd w:id="21"/>
    </w:p>
    <w:p>
      <w:pPr>
        <w:spacing w:line="360" w:lineRule="auto"/>
        <w:ind w:firstLine="420"/>
      </w:pPr>
      <w:r>
        <w:rPr>
          <w:rFonts w:ascii="宋体" w:hAnsi="宋体" w:eastAsia="宋体"/>
          <w:b w:val="0"/>
          <w:sz w:val="24"/>
        </w:rPr>
        <w:t>标段：第____标段</w:t>
      </w:r>
    </w:p>
    <w:p>
      <w:pPr>
        <w:spacing w:line="360" w:lineRule="auto"/>
        <w:ind w:firstLine="420"/>
      </w:pPr>
      <w:r>
        <w:rPr>
          <w:rFonts w:ascii="宋体" w:hAnsi="宋体" w:eastAsia="宋体"/>
          <w:b w:val="0"/>
          <w:sz w:val="24"/>
        </w:rPr>
        <w:t>要求：仅填写近3年内纯电动营运客车（通勤/旅游/商务包车）供货项目，附合同关键页复印件加盖公章</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4"/>
        <w:gridCol w:w="1417"/>
        <w:gridCol w:w="1134"/>
        <w:gridCol w:w="454"/>
        <w:gridCol w:w="850"/>
        <w:gridCol w:w="1134"/>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dxa"/>
            <w:shd w:val="clear" w:color="auto" w:fill="auto"/>
            <w:vAlign w:val="center"/>
          </w:tcPr>
          <w:p>
            <w:pPr>
              <w:spacing w:after="0" w:line="360" w:lineRule="auto"/>
              <w:jc w:val="center"/>
            </w:pPr>
            <w:r>
              <w:rPr>
                <w:rFonts w:ascii="黑体" w:hAnsi="黑体" w:eastAsia="黑体"/>
                <w:b/>
                <w:sz w:val="21"/>
              </w:rPr>
              <w:t>序号</w:t>
            </w:r>
          </w:p>
        </w:tc>
        <w:tc>
          <w:tcPr>
            <w:tcW w:w="1417" w:type="dxa"/>
            <w:shd w:val="clear" w:color="auto" w:fill="auto"/>
            <w:vAlign w:val="center"/>
          </w:tcPr>
          <w:p>
            <w:pPr>
              <w:spacing w:after="0" w:line="360" w:lineRule="auto"/>
              <w:jc w:val="center"/>
            </w:pPr>
            <w:r>
              <w:rPr>
                <w:rFonts w:ascii="黑体" w:hAnsi="黑体" w:eastAsia="黑体"/>
                <w:b/>
                <w:sz w:val="21"/>
              </w:rPr>
              <w:t>采购单位名称</w:t>
            </w:r>
          </w:p>
        </w:tc>
        <w:tc>
          <w:tcPr>
            <w:tcW w:w="1134" w:type="dxa"/>
            <w:shd w:val="clear" w:color="auto" w:fill="auto"/>
            <w:vAlign w:val="center"/>
          </w:tcPr>
          <w:p>
            <w:pPr>
              <w:spacing w:after="0" w:line="360" w:lineRule="auto"/>
              <w:jc w:val="center"/>
            </w:pPr>
            <w:r>
              <w:rPr>
                <w:rFonts w:ascii="黑体" w:hAnsi="黑体" w:eastAsia="黑体"/>
                <w:b/>
                <w:sz w:val="21"/>
              </w:rPr>
              <w:t>供货车型</w:t>
            </w:r>
          </w:p>
        </w:tc>
        <w:tc>
          <w:tcPr>
            <w:tcW w:w="454" w:type="dxa"/>
            <w:shd w:val="clear" w:color="auto" w:fill="auto"/>
            <w:vAlign w:val="center"/>
          </w:tcPr>
          <w:p>
            <w:pPr>
              <w:spacing w:after="0" w:line="360" w:lineRule="auto"/>
              <w:jc w:val="center"/>
            </w:pPr>
            <w:r>
              <w:rPr>
                <w:rFonts w:ascii="黑体" w:hAnsi="黑体" w:eastAsia="黑体"/>
                <w:b/>
                <w:sz w:val="21"/>
              </w:rPr>
              <w:t>台数</w:t>
            </w:r>
          </w:p>
        </w:tc>
        <w:tc>
          <w:tcPr>
            <w:tcW w:w="850" w:type="dxa"/>
            <w:shd w:val="clear" w:color="auto" w:fill="auto"/>
            <w:vAlign w:val="center"/>
          </w:tcPr>
          <w:p>
            <w:pPr>
              <w:spacing w:after="0" w:line="360" w:lineRule="auto"/>
              <w:jc w:val="center"/>
            </w:pPr>
            <w:r>
              <w:rPr>
                <w:rFonts w:ascii="黑体" w:hAnsi="黑体" w:eastAsia="黑体"/>
                <w:b/>
                <w:sz w:val="21"/>
              </w:rPr>
              <w:t>合同签订年份</w:t>
            </w:r>
          </w:p>
        </w:tc>
        <w:tc>
          <w:tcPr>
            <w:tcW w:w="1134" w:type="dxa"/>
            <w:shd w:val="clear" w:color="auto" w:fill="auto"/>
            <w:vAlign w:val="center"/>
          </w:tcPr>
          <w:p>
            <w:pPr>
              <w:spacing w:after="0" w:line="360" w:lineRule="auto"/>
              <w:jc w:val="center"/>
            </w:pPr>
            <w:r>
              <w:rPr>
                <w:rFonts w:ascii="黑体" w:hAnsi="黑体" w:eastAsia="黑体"/>
                <w:b/>
                <w:sz w:val="21"/>
              </w:rPr>
              <w:t>合同总金额（万元）</w:t>
            </w:r>
          </w:p>
        </w:tc>
        <w:tc>
          <w:tcPr>
            <w:tcW w:w="1134" w:type="dxa"/>
            <w:shd w:val="clear" w:color="auto" w:fill="auto"/>
            <w:vAlign w:val="center"/>
          </w:tcPr>
          <w:p>
            <w:pPr>
              <w:spacing w:after="0" w:line="360" w:lineRule="auto"/>
              <w:jc w:val="center"/>
            </w:pPr>
            <w:r>
              <w:rPr>
                <w:rFonts w:ascii="黑体" w:hAnsi="黑体" w:eastAsia="黑体"/>
                <w:b/>
                <w:sz w:val="21"/>
              </w:rPr>
              <w:t>联系人及电话</w:t>
            </w:r>
          </w:p>
        </w:tc>
        <w:tc>
          <w:tcPr>
            <w:tcW w:w="1134" w:type="dxa"/>
            <w:shd w:val="clear" w:color="auto" w:fill="auto"/>
            <w:vAlign w:val="center"/>
          </w:tcPr>
          <w:p>
            <w:pPr>
              <w:spacing w:after="0" w:line="360" w:lineRule="auto"/>
              <w:jc w:val="center"/>
            </w:pPr>
            <w:r>
              <w:rPr>
                <w:rFonts w:ascii="黑体" w:hAnsi="黑体" w:eastAsia="黑体"/>
                <w:b/>
                <w:sz w:val="21"/>
              </w:rPr>
              <w:t>佐证材料附件页码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dxa"/>
            <w:vAlign w:val="center"/>
          </w:tcPr>
          <w:p>
            <w:pPr>
              <w:spacing w:after="0" w:line="360" w:lineRule="auto"/>
              <w:jc w:val="center"/>
            </w:pPr>
            <w:r>
              <w:rPr>
                <w:rFonts w:ascii="宋体" w:hAnsi="宋体" w:eastAsia="宋体"/>
                <w:sz w:val="21"/>
              </w:rPr>
              <w:t>1</w:t>
            </w:r>
          </w:p>
        </w:tc>
        <w:tc>
          <w:tcPr>
            <w:tcW w:w="1417" w:type="dxa"/>
            <w:vAlign w:val="center"/>
          </w:tcPr>
          <w:p>
            <w:pPr>
              <w:spacing w:after="0" w:line="360" w:lineRule="auto"/>
              <w:jc w:val="center"/>
            </w:pPr>
          </w:p>
        </w:tc>
        <w:tc>
          <w:tcPr>
            <w:tcW w:w="1134" w:type="dxa"/>
            <w:vAlign w:val="center"/>
          </w:tcPr>
          <w:p>
            <w:pPr>
              <w:spacing w:after="0" w:line="360" w:lineRule="auto"/>
              <w:jc w:val="center"/>
            </w:pPr>
          </w:p>
        </w:tc>
        <w:tc>
          <w:tcPr>
            <w:tcW w:w="454" w:type="dxa"/>
            <w:vAlign w:val="center"/>
          </w:tcPr>
          <w:p>
            <w:pPr>
              <w:spacing w:after="0" w:line="360" w:lineRule="auto"/>
              <w:jc w:val="center"/>
            </w:pPr>
          </w:p>
        </w:tc>
        <w:tc>
          <w:tcPr>
            <w:tcW w:w="850" w:type="dxa"/>
            <w:vAlign w:val="center"/>
          </w:tcPr>
          <w:p>
            <w:pPr>
              <w:spacing w:after="0" w:line="360" w:lineRule="auto"/>
              <w:jc w:val="center"/>
            </w:pPr>
          </w:p>
        </w:tc>
        <w:tc>
          <w:tcPr>
            <w:tcW w:w="1134" w:type="dxa"/>
            <w:vAlign w:val="center"/>
          </w:tcPr>
          <w:p>
            <w:pPr>
              <w:spacing w:after="0" w:line="360" w:lineRule="auto"/>
              <w:jc w:val="center"/>
            </w:pPr>
          </w:p>
        </w:tc>
        <w:tc>
          <w:tcPr>
            <w:tcW w:w="1134" w:type="dxa"/>
            <w:vAlign w:val="center"/>
          </w:tcPr>
          <w:p>
            <w:pPr>
              <w:spacing w:after="0" w:line="360" w:lineRule="auto"/>
              <w:jc w:val="center"/>
            </w:pPr>
          </w:p>
        </w:tc>
        <w:tc>
          <w:tcPr>
            <w:tcW w:w="1134" w:type="dxa"/>
            <w:vAlign w:val="center"/>
          </w:tcPr>
          <w:p>
            <w:pPr>
              <w:spacing w:after="0" w:line="36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dxa"/>
            <w:vAlign w:val="center"/>
          </w:tcPr>
          <w:p>
            <w:pPr>
              <w:spacing w:after="0" w:line="360" w:lineRule="auto"/>
              <w:jc w:val="center"/>
            </w:pPr>
            <w:r>
              <w:rPr>
                <w:rFonts w:ascii="宋体" w:hAnsi="宋体" w:eastAsia="宋体"/>
                <w:sz w:val="21"/>
              </w:rPr>
              <w:t>2</w:t>
            </w:r>
          </w:p>
        </w:tc>
        <w:tc>
          <w:tcPr>
            <w:tcW w:w="1417" w:type="dxa"/>
            <w:vAlign w:val="center"/>
          </w:tcPr>
          <w:p>
            <w:pPr>
              <w:spacing w:after="0" w:line="360" w:lineRule="auto"/>
              <w:jc w:val="center"/>
            </w:pPr>
          </w:p>
        </w:tc>
        <w:tc>
          <w:tcPr>
            <w:tcW w:w="1134" w:type="dxa"/>
            <w:vAlign w:val="center"/>
          </w:tcPr>
          <w:p>
            <w:pPr>
              <w:spacing w:after="0" w:line="360" w:lineRule="auto"/>
              <w:jc w:val="center"/>
            </w:pPr>
          </w:p>
        </w:tc>
        <w:tc>
          <w:tcPr>
            <w:tcW w:w="454" w:type="dxa"/>
            <w:vAlign w:val="center"/>
          </w:tcPr>
          <w:p>
            <w:pPr>
              <w:spacing w:after="0" w:line="360" w:lineRule="auto"/>
              <w:jc w:val="center"/>
            </w:pPr>
          </w:p>
        </w:tc>
        <w:tc>
          <w:tcPr>
            <w:tcW w:w="850" w:type="dxa"/>
            <w:vAlign w:val="center"/>
          </w:tcPr>
          <w:p>
            <w:pPr>
              <w:spacing w:after="0" w:line="360" w:lineRule="auto"/>
              <w:jc w:val="center"/>
            </w:pPr>
          </w:p>
        </w:tc>
        <w:tc>
          <w:tcPr>
            <w:tcW w:w="1134" w:type="dxa"/>
            <w:vAlign w:val="center"/>
          </w:tcPr>
          <w:p>
            <w:pPr>
              <w:spacing w:after="0" w:line="360" w:lineRule="auto"/>
              <w:jc w:val="center"/>
            </w:pPr>
          </w:p>
        </w:tc>
        <w:tc>
          <w:tcPr>
            <w:tcW w:w="1134" w:type="dxa"/>
            <w:vAlign w:val="center"/>
          </w:tcPr>
          <w:p>
            <w:pPr>
              <w:spacing w:after="0" w:line="360" w:lineRule="auto"/>
              <w:jc w:val="center"/>
            </w:pPr>
          </w:p>
        </w:tc>
        <w:tc>
          <w:tcPr>
            <w:tcW w:w="1134" w:type="dxa"/>
            <w:vAlign w:val="center"/>
          </w:tcPr>
          <w:p>
            <w:pPr>
              <w:spacing w:after="0" w:line="36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4" w:type="dxa"/>
            <w:vAlign w:val="center"/>
          </w:tcPr>
          <w:p>
            <w:pPr>
              <w:spacing w:after="0" w:line="360" w:lineRule="auto"/>
              <w:jc w:val="center"/>
            </w:pPr>
            <w:r>
              <w:rPr>
                <w:rFonts w:ascii="宋体" w:hAnsi="宋体" w:eastAsia="宋体"/>
                <w:sz w:val="21"/>
              </w:rPr>
              <w:t>3</w:t>
            </w:r>
          </w:p>
        </w:tc>
        <w:tc>
          <w:tcPr>
            <w:tcW w:w="1417" w:type="dxa"/>
            <w:vAlign w:val="center"/>
          </w:tcPr>
          <w:p>
            <w:pPr>
              <w:spacing w:after="0" w:line="360" w:lineRule="auto"/>
              <w:jc w:val="center"/>
            </w:pPr>
          </w:p>
        </w:tc>
        <w:tc>
          <w:tcPr>
            <w:tcW w:w="1134" w:type="dxa"/>
            <w:vAlign w:val="center"/>
          </w:tcPr>
          <w:p>
            <w:pPr>
              <w:spacing w:after="0" w:line="360" w:lineRule="auto"/>
              <w:jc w:val="center"/>
            </w:pPr>
          </w:p>
        </w:tc>
        <w:tc>
          <w:tcPr>
            <w:tcW w:w="454" w:type="dxa"/>
            <w:vAlign w:val="center"/>
          </w:tcPr>
          <w:p>
            <w:pPr>
              <w:spacing w:after="0" w:line="360" w:lineRule="auto"/>
              <w:jc w:val="center"/>
            </w:pPr>
          </w:p>
        </w:tc>
        <w:tc>
          <w:tcPr>
            <w:tcW w:w="850" w:type="dxa"/>
            <w:vAlign w:val="center"/>
          </w:tcPr>
          <w:p>
            <w:pPr>
              <w:spacing w:after="0" w:line="360" w:lineRule="auto"/>
              <w:jc w:val="center"/>
            </w:pPr>
          </w:p>
        </w:tc>
        <w:tc>
          <w:tcPr>
            <w:tcW w:w="1134" w:type="dxa"/>
            <w:vAlign w:val="center"/>
          </w:tcPr>
          <w:p>
            <w:pPr>
              <w:spacing w:after="0" w:line="360" w:lineRule="auto"/>
              <w:jc w:val="center"/>
            </w:pPr>
          </w:p>
        </w:tc>
        <w:tc>
          <w:tcPr>
            <w:tcW w:w="1134" w:type="dxa"/>
            <w:vAlign w:val="center"/>
          </w:tcPr>
          <w:p>
            <w:pPr>
              <w:spacing w:after="0" w:line="360" w:lineRule="auto"/>
              <w:jc w:val="center"/>
            </w:pPr>
          </w:p>
        </w:tc>
        <w:tc>
          <w:tcPr>
            <w:tcW w:w="1134" w:type="dxa"/>
            <w:vAlign w:val="center"/>
          </w:tcPr>
          <w:p>
            <w:pPr>
              <w:spacing w:after="0" w:line="360" w:lineRule="auto"/>
              <w:jc w:val="center"/>
            </w:pPr>
          </w:p>
        </w:tc>
      </w:tr>
    </w:tbl>
    <w:p>
      <w:pPr>
        <w:spacing w:line="360" w:lineRule="auto"/>
      </w:pPr>
    </w:p>
    <w:p>
      <w:pPr>
        <w:spacing w:line="360" w:lineRule="auto"/>
        <w:ind w:firstLine="420"/>
        <w:rPr>
          <w:rFonts w:ascii="宋体" w:hAnsi="宋体" w:eastAsia="宋体"/>
          <w:b w:val="0"/>
          <w:sz w:val="24"/>
        </w:rPr>
      </w:pPr>
    </w:p>
    <w:p>
      <w:pPr>
        <w:spacing w:line="360" w:lineRule="auto"/>
        <w:ind w:firstLine="420"/>
        <w:rPr>
          <w:rFonts w:ascii="宋体" w:hAnsi="宋体" w:eastAsia="宋体"/>
          <w:b w:val="0"/>
          <w:sz w:val="24"/>
        </w:rPr>
      </w:pPr>
    </w:p>
    <w:p>
      <w:pPr>
        <w:spacing w:line="360" w:lineRule="auto"/>
        <w:ind w:firstLine="4740" w:firstLineChars="1975"/>
      </w:pPr>
      <w:r>
        <w:rPr>
          <w:rFonts w:ascii="宋体" w:hAnsi="宋体" w:eastAsia="宋体"/>
          <w:b w:val="0"/>
          <w:sz w:val="24"/>
        </w:rPr>
        <w:t>投标人（公章）：____________</w:t>
      </w:r>
    </w:p>
    <w:p>
      <w:pPr>
        <w:spacing w:line="360" w:lineRule="auto"/>
        <w:ind w:firstLine="4800" w:firstLineChars="2000"/>
      </w:pPr>
      <w:r>
        <w:rPr>
          <w:rFonts w:ascii="宋体" w:hAnsi="宋体" w:eastAsia="宋体"/>
          <w:b w:val="0"/>
          <w:sz w:val="24"/>
        </w:rPr>
        <w:t>日期：2026年____月____日</w:t>
      </w:r>
    </w:p>
    <w:p>
      <w:r>
        <w:br w:type="page"/>
      </w:r>
    </w:p>
    <w:p>
      <w:pPr>
        <w:jc w:val="left"/>
        <w:outlineLvl w:val="0"/>
      </w:pPr>
      <w:bookmarkStart w:id="22" w:name="_Toc30425"/>
      <w:r>
        <w:rPr>
          <w:rFonts w:ascii="黑体" w:hAnsi="黑体" w:eastAsia="黑体"/>
          <w:b/>
          <w:sz w:val="28"/>
        </w:rPr>
        <w:t>格式9  质量与质保专项承诺书</w:t>
      </w:r>
      <w:bookmarkEnd w:id="22"/>
    </w:p>
    <w:p>
      <w:pPr>
        <w:spacing w:line="360" w:lineRule="auto"/>
        <w:ind w:firstLine="420"/>
        <w:jc w:val="center"/>
        <w:outlineLvl w:val="1"/>
      </w:pPr>
      <w:r>
        <w:rPr>
          <w:rFonts w:ascii="宋体" w:hAnsi="宋体" w:eastAsia="宋体"/>
          <w:b/>
          <w:sz w:val="24"/>
        </w:rPr>
        <w:t>质量与质保专项承诺书</w:t>
      </w:r>
    </w:p>
    <w:p/>
    <w:p>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4"/>
        </w:rPr>
        <w:t>致：厦门公交集团鹭驰交通有限公司</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针对</w:t>
      </w:r>
      <w:r>
        <w:rPr>
          <w:rFonts w:hint="eastAsia"/>
          <w:b w:val="0"/>
          <w:sz w:val="24"/>
          <w:highlight w:val="none"/>
          <w:lang w:eastAsia="zh-CN"/>
        </w:rPr>
        <w:t>XMGJLCJT2026-JF001</w:t>
      </w:r>
      <w:r>
        <w:rPr>
          <w:rFonts w:ascii="宋体" w:hAnsi="宋体" w:eastAsia="宋体"/>
          <w:b w:val="0"/>
          <w:sz w:val="24"/>
        </w:rPr>
        <w:t>第____标段采购车辆，我方作出如下不可撤销承诺：</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 整车全部原厂全新，符合工信部公告、新能源推荐目录、JT/T325营运等级标准，交付全套合规</w:t>
      </w:r>
      <w:r>
        <w:rPr>
          <w:rFonts w:hint="eastAsia"/>
          <w:b w:val="0"/>
          <w:sz w:val="24"/>
          <w:lang w:eastAsia="zh-CN"/>
        </w:rPr>
        <w:t>车辆注册登记</w:t>
      </w:r>
      <w:r>
        <w:rPr>
          <w:rFonts w:ascii="宋体" w:hAnsi="宋体" w:eastAsia="宋体"/>
          <w:b w:val="0"/>
          <w:sz w:val="24"/>
        </w:rPr>
        <w:t>、营运资质资料；</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2. 整车、三电质保严格高于/等于招标文件最低要求；质保期内电池容量衰减低于80%，免费更换全新电池总成，无额外收费；</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3. 报修24小时响应，厦门区域2小时到场维修；同一故障7日内重复出现，自愿接受每次扣1000元履约保证金；车辆故障停驶超5日，按1000元/台/日赔付运营损失；</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4. 每年提供2次免费全车巡检、三电校准、底盘紧固，工时、配件全部免费；</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5. 福建常设备件库，常用配件48小时送达厦门场站；</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6. 若交付车辆为翻新车、事故车、改装车，甲方有权选择更换整车或解除合同，我方支付标段总价20%违约金，并承担全部损失。</w:t>
      </w:r>
    </w:p>
    <w:p>
      <w:pPr>
        <w:spacing w:line="360" w:lineRule="auto"/>
      </w:pPr>
    </w:p>
    <w:p>
      <w:pPr>
        <w:pStyle w:val="2"/>
      </w:pPr>
    </w:p>
    <w:p/>
    <w:p>
      <w:pPr>
        <w:spacing w:line="360" w:lineRule="auto"/>
        <w:ind w:firstLine="5700" w:firstLineChars="2375"/>
      </w:pPr>
      <w:r>
        <w:rPr>
          <w:rFonts w:ascii="宋体" w:hAnsi="宋体" w:eastAsia="宋体"/>
          <w:b w:val="0"/>
          <w:sz w:val="24"/>
        </w:rPr>
        <w:t>投标人（公章）：____________</w:t>
      </w:r>
    </w:p>
    <w:p>
      <w:pPr>
        <w:spacing w:line="360" w:lineRule="auto"/>
        <w:ind w:firstLine="5700" w:firstLineChars="2375"/>
      </w:pPr>
      <w:r>
        <w:rPr>
          <w:rFonts w:ascii="宋体" w:hAnsi="宋体" w:eastAsia="宋体"/>
          <w:b w:val="0"/>
          <w:sz w:val="24"/>
        </w:rPr>
        <w:t>法定代表人签字：____________</w:t>
      </w:r>
    </w:p>
    <w:p>
      <w:pPr>
        <w:spacing w:line="360" w:lineRule="auto"/>
        <w:ind w:firstLine="5700" w:firstLineChars="2375"/>
      </w:pPr>
      <w:r>
        <w:rPr>
          <w:rFonts w:ascii="宋体" w:hAnsi="宋体" w:eastAsia="宋体"/>
          <w:b w:val="0"/>
          <w:sz w:val="24"/>
        </w:rPr>
        <w:t>日期：2026年____月____日</w:t>
      </w:r>
    </w:p>
    <w:p>
      <w:pPr>
        <w:jc w:val="left"/>
        <w:rPr>
          <w:rFonts w:ascii="黑体" w:hAnsi="黑体" w:eastAsia="黑体"/>
          <w:b/>
          <w:sz w:val="28"/>
        </w:rPr>
      </w:pPr>
    </w:p>
    <w:p>
      <w:pPr>
        <w:jc w:val="left"/>
        <w:rPr>
          <w:rFonts w:ascii="黑体" w:hAnsi="黑体" w:eastAsia="黑体"/>
          <w:b/>
          <w:sz w:val="28"/>
        </w:rPr>
      </w:pPr>
    </w:p>
    <w:p>
      <w:pPr>
        <w:jc w:val="left"/>
        <w:rPr>
          <w:rFonts w:ascii="黑体" w:hAnsi="黑体" w:eastAsia="黑体"/>
          <w:b/>
          <w:sz w:val="28"/>
        </w:rPr>
      </w:pPr>
    </w:p>
    <w:p>
      <w:pPr>
        <w:jc w:val="left"/>
        <w:outlineLvl w:val="0"/>
      </w:pPr>
      <w:bookmarkStart w:id="23" w:name="_Toc29136"/>
      <w:r>
        <w:rPr>
          <w:rFonts w:ascii="黑体" w:hAnsi="黑体" w:eastAsia="黑体"/>
          <w:b/>
          <w:sz w:val="28"/>
        </w:rPr>
        <w:t>格式10  完整售后服务方案简表（配套详细方案文档）</w:t>
      </w:r>
      <w:bookmarkEnd w:id="23"/>
    </w:p>
    <w:p>
      <w:pPr>
        <w:spacing w:line="360" w:lineRule="auto"/>
        <w:ind w:firstLine="420"/>
        <w:jc w:val="center"/>
        <w:outlineLvl w:val="1"/>
      </w:pPr>
      <w:r>
        <w:rPr>
          <w:rFonts w:ascii="宋体" w:hAnsi="宋体" w:eastAsia="宋体"/>
          <w:b/>
          <w:sz w:val="24"/>
        </w:rPr>
        <w:t>售后服务方案简表</w:t>
      </w:r>
    </w:p>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1.7×24救援热线：________________</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1"/>
      </w:pPr>
      <w:r>
        <w:rPr>
          <w:rFonts w:ascii="宋体" w:hAnsi="宋体" w:eastAsia="宋体"/>
          <w:b w:val="0"/>
          <w:sz w:val="24"/>
        </w:rPr>
        <w:t>2.厦门本地维保网点地址、常驻技师人数：</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1"/>
      </w:pPr>
      <w:r>
        <w:rPr>
          <w:rFonts w:ascii="宋体" w:hAnsi="宋体" w:eastAsia="宋体"/>
          <w:b w:val="0"/>
          <w:sz w:val="24"/>
        </w:rPr>
        <w:t>3.故障响应时效承诺：接报____分钟响应，____小时现场抢修</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1"/>
      </w:pPr>
      <w:r>
        <w:rPr>
          <w:rFonts w:ascii="宋体" w:hAnsi="宋体" w:eastAsia="宋体"/>
          <w:b w:val="0"/>
          <w:sz w:val="24"/>
        </w:rPr>
        <w:t>4.三电故障备件供货周期：____日</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1"/>
      </w:pPr>
      <w:r>
        <w:rPr>
          <w:rFonts w:ascii="宋体" w:hAnsi="宋体" w:eastAsia="宋体"/>
          <w:b w:val="0"/>
          <w:sz w:val="24"/>
        </w:rPr>
        <w:t>5.年度免费巡检内容：</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1"/>
      </w:pPr>
      <w:r>
        <w:rPr>
          <w:rFonts w:ascii="宋体" w:hAnsi="宋体" w:eastAsia="宋体"/>
          <w:b w:val="0"/>
          <w:sz w:val="24"/>
        </w:rPr>
        <w:t>6.交付培训内容（驾驶员操作、三电维保、安全操作）：</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1"/>
      </w:pPr>
      <w:r>
        <w:rPr>
          <w:rFonts w:ascii="宋体" w:hAnsi="宋体" w:eastAsia="宋体"/>
          <w:b w:val="0"/>
          <w:sz w:val="24"/>
        </w:rPr>
        <w:t>7.质保期外维保优惠政策：</w:t>
      </w:r>
    </w:p>
    <w:p>
      <w:pPr>
        <w:keepNext w:val="0"/>
        <w:keepLines w:val="0"/>
        <w:pageBreakBefore w:val="0"/>
        <w:widowControl/>
        <w:kinsoku/>
        <w:wordWrap/>
        <w:overflowPunct/>
        <w:topLinePunct w:val="0"/>
        <w:autoSpaceDE/>
        <w:autoSpaceDN/>
        <w:bidi w:val="0"/>
        <w:adjustRightInd/>
        <w:snapToGrid/>
        <w:spacing w:after="0" w:line="360" w:lineRule="auto"/>
        <w:textAlignment w:val="auto"/>
      </w:pP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ascii="宋体" w:hAnsi="宋体" w:eastAsia="宋体"/>
          <w:b w:val="0"/>
          <w:sz w:val="24"/>
        </w:rPr>
      </w:pP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ascii="宋体" w:hAnsi="宋体" w:eastAsia="宋体"/>
          <w:b w:val="0"/>
          <w:sz w:val="24"/>
        </w:rPr>
      </w:pPr>
    </w:p>
    <w:p>
      <w:pPr>
        <w:keepNext w:val="0"/>
        <w:keepLines w:val="0"/>
        <w:pageBreakBefore w:val="0"/>
        <w:widowControl/>
        <w:kinsoku/>
        <w:wordWrap/>
        <w:overflowPunct/>
        <w:topLinePunct w:val="0"/>
        <w:autoSpaceDE/>
        <w:autoSpaceDN/>
        <w:bidi w:val="0"/>
        <w:adjustRightInd/>
        <w:snapToGrid/>
        <w:spacing w:after="0" w:line="360" w:lineRule="auto"/>
        <w:ind w:firstLine="4980" w:firstLineChars="2075"/>
        <w:textAlignment w:val="auto"/>
      </w:pPr>
      <w:r>
        <w:rPr>
          <w:rFonts w:ascii="宋体" w:hAnsi="宋体" w:eastAsia="宋体"/>
          <w:b w:val="0"/>
          <w:sz w:val="24"/>
        </w:rPr>
        <w:t>投标人（公章）：____________</w:t>
      </w:r>
    </w:p>
    <w:p>
      <w:pPr>
        <w:keepNext w:val="0"/>
        <w:keepLines w:val="0"/>
        <w:pageBreakBefore w:val="0"/>
        <w:widowControl/>
        <w:kinsoku/>
        <w:wordWrap/>
        <w:overflowPunct/>
        <w:topLinePunct w:val="0"/>
        <w:autoSpaceDE/>
        <w:autoSpaceDN/>
        <w:bidi w:val="0"/>
        <w:adjustRightInd/>
        <w:snapToGrid/>
        <w:spacing w:after="0" w:line="360" w:lineRule="auto"/>
        <w:textAlignment w:val="auto"/>
      </w:pPr>
      <w:r>
        <w:br w:type="page"/>
      </w:r>
    </w:p>
    <w:p>
      <w:pPr>
        <w:jc w:val="left"/>
        <w:outlineLvl w:val="0"/>
      </w:pPr>
      <w:bookmarkStart w:id="24" w:name="_Toc31880"/>
      <w:r>
        <w:rPr>
          <w:rFonts w:ascii="黑体" w:hAnsi="黑体" w:eastAsia="黑体"/>
          <w:b/>
          <w:sz w:val="28"/>
        </w:rPr>
        <w:t>格式11  近三年无重大违法经营书面声明</w:t>
      </w:r>
      <w:bookmarkEnd w:id="24"/>
    </w:p>
    <w:p>
      <w:pPr>
        <w:spacing w:line="360" w:lineRule="auto"/>
        <w:ind w:firstLine="420"/>
        <w:jc w:val="center"/>
        <w:outlineLvl w:val="1"/>
      </w:pPr>
      <w:r>
        <w:rPr>
          <w:rFonts w:ascii="宋体" w:hAnsi="宋体" w:eastAsia="宋体"/>
          <w:b/>
          <w:sz w:val="24"/>
        </w:rPr>
        <w:t>无重大违法经营书面声明</w:t>
      </w:r>
    </w:p>
    <w:p/>
    <w:p>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4"/>
        </w:rPr>
        <w:t>致：厦门公交集团鹭驰交通有限公司</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我方郑重声明：本单位自成立以来（开业不足三年自开业起）近三年经营期间：</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1.无重大行政处罚、无招投标违法、无车辆质量欺诈、无安全生产重大事故记录；</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2.法定代表人、企业实际控制人无经济犯罪、失信被执行记录；</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3.未被列入失信被执行人、重大税收违法失信、政府采购严重违法名单；</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4.本次投标所有资质、业绩、检测报告全部真实，如有虚假，自愿承担全部违约责任。</w:t>
      </w:r>
    </w:p>
    <w:p>
      <w:pPr>
        <w:spacing w:line="360" w:lineRule="auto"/>
      </w:pPr>
    </w:p>
    <w:p>
      <w:pPr>
        <w:pStyle w:val="2"/>
      </w:pPr>
    </w:p>
    <w:p/>
    <w:p>
      <w:pPr>
        <w:spacing w:line="360" w:lineRule="auto"/>
        <w:ind w:firstLine="5940" w:firstLineChars="2475"/>
      </w:pPr>
      <w:r>
        <w:rPr>
          <w:rFonts w:ascii="宋体" w:hAnsi="宋体" w:eastAsia="宋体"/>
          <w:b w:val="0"/>
          <w:sz w:val="24"/>
        </w:rPr>
        <w:t>投标人（公章）：____________</w:t>
      </w:r>
    </w:p>
    <w:p>
      <w:pPr>
        <w:spacing w:line="360" w:lineRule="auto"/>
        <w:ind w:firstLine="5940" w:firstLineChars="2475"/>
      </w:pPr>
      <w:r>
        <w:rPr>
          <w:rFonts w:ascii="宋体" w:hAnsi="宋体" w:eastAsia="宋体"/>
          <w:b w:val="0"/>
          <w:sz w:val="24"/>
        </w:rPr>
        <w:t>法定代表人签字：____________</w:t>
      </w:r>
    </w:p>
    <w:p>
      <w:pPr>
        <w:spacing w:line="360" w:lineRule="auto"/>
        <w:ind w:firstLine="5940" w:firstLineChars="2475"/>
      </w:pPr>
      <w:r>
        <w:rPr>
          <w:rFonts w:ascii="宋体" w:hAnsi="宋体" w:eastAsia="宋体"/>
          <w:b w:val="0"/>
          <w:sz w:val="24"/>
        </w:rPr>
        <w:t>日期：2026年____月____日</w:t>
      </w:r>
    </w:p>
    <w:p>
      <w:pPr>
        <w:jc w:val="left"/>
        <w:rPr>
          <w:rFonts w:ascii="黑体" w:hAnsi="黑体" w:eastAsia="黑体"/>
          <w:b/>
          <w:sz w:val="28"/>
        </w:rPr>
      </w:pPr>
    </w:p>
    <w:p>
      <w:pPr>
        <w:jc w:val="left"/>
        <w:rPr>
          <w:rFonts w:ascii="黑体" w:hAnsi="黑体" w:eastAsia="黑体"/>
          <w:b/>
          <w:sz w:val="28"/>
        </w:rPr>
      </w:pPr>
    </w:p>
    <w:p>
      <w:pPr>
        <w:jc w:val="left"/>
        <w:rPr>
          <w:rFonts w:ascii="黑体" w:hAnsi="黑体" w:eastAsia="黑体"/>
          <w:b/>
          <w:sz w:val="28"/>
        </w:rPr>
      </w:pPr>
    </w:p>
    <w:p>
      <w:pPr>
        <w:jc w:val="left"/>
        <w:rPr>
          <w:rFonts w:ascii="黑体" w:hAnsi="黑体" w:eastAsia="黑体"/>
          <w:b/>
          <w:sz w:val="28"/>
        </w:rPr>
      </w:pPr>
    </w:p>
    <w:p>
      <w:pPr>
        <w:jc w:val="left"/>
        <w:rPr>
          <w:rFonts w:ascii="黑体" w:hAnsi="黑体" w:eastAsia="黑体"/>
          <w:b/>
          <w:sz w:val="28"/>
        </w:rPr>
      </w:pPr>
    </w:p>
    <w:p>
      <w:pPr>
        <w:jc w:val="left"/>
        <w:rPr>
          <w:rFonts w:ascii="黑体" w:hAnsi="黑体" w:eastAsia="黑体"/>
          <w:b/>
          <w:sz w:val="28"/>
        </w:rPr>
      </w:pPr>
    </w:p>
    <w:p>
      <w:pPr>
        <w:jc w:val="left"/>
        <w:outlineLvl w:val="0"/>
      </w:pPr>
      <w:bookmarkStart w:id="25" w:name="_Toc31670"/>
      <w:r>
        <w:rPr>
          <w:rFonts w:ascii="黑体" w:hAnsi="黑体" w:eastAsia="黑体"/>
          <w:b/>
          <w:sz w:val="28"/>
        </w:rPr>
        <w:t>格式12  廉政承诺函</w:t>
      </w:r>
      <w:bookmarkEnd w:id="25"/>
    </w:p>
    <w:p>
      <w:pPr>
        <w:spacing w:line="360" w:lineRule="auto"/>
        <w:jc w:val="center"/>
        <w:outlineLvl w:val="1"/>
      </w:pPr>
      <w:r>
        <w:rPr>
          <w:rFonts w:ascii="宋体" w:hAnsi="宋体" w:eastAsia="宋体"/>
          <w:b/>
          <w:sz w:val="24"/>
        </w:rPr>
        <w:t>廉政承诺函</w:t>
      </w:r>
    </w:p>
    <w:p/>
    <w:p>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4"/>
        </w:rPr>
        <w:t>致：厦门公交集团鹭驰交通有限公司</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我方参与</w:t>
      </w:r>
      <w:r>
        <w:rPr>
          <w:rFonts w:hint="eastAsia"/>
          <w:b w:val="0"/>
          <w:sz w:val="24"/>
          <w:highlight w:val="none"/>
          <w:lang w:eastAsia="zh-CN"/>
        </w:rPr>
        <w:t>XMGJLCJT2026-JF001</w:t>
      </w:r>
      <w:r>
        <w:rPr>
          <w:rFonts w:ascii="宋体" w:hAnsi="宋体" w:eastAsia="宋体"/>
          <w:b w:val="0"/>
          <w:sz w:val="24"/>
        </w:rPr>
        <w:t>招标，郑重承诺：</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1.不以任何形式向贵司工作人员赠送礼金、礼品、购物卡、回扣、宴请、旅游娱乐安排；</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2.不委托第三方向贵司人员输送不正当利益，不报销贵司人员私人费用；</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3.不串通其他投标人围标、串标、恶意报价；</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4.若违反上述承诺，贵司有权取消我方投标/中标资格，没收保证金，永久禁止合作，我方承担全部法律责任。</w:t>
      </w:r>
    </w:p>
    <w:p>
      <w:pPr>
        <w:spacing w:line="360" w:lineRule="auto"/>
      </w:pPr>
    </w:p>
    <w:p>
      <w:pPr>
        <w:spacing w:line="360" w:lineRule="auto"/>
        <w:ind w:firstLine="420"/>
        <w:rPr>
          <w:rFonts w:ascii="宋体" w:hAnsi="宋体" w:eastAsia="宋体"/>
          <w:b w:val="0"/>
          <w:sz w:val="24"/>
        </w:rPr>
      </w:pPr>
    </w:p>
    <w:p>
      <w:pPr>
        <w:spacing w:line="360" w:lineRule="auto"/>
        <w:ind w:firstLine="420"/>
        <w:rPr>
          <w:rFonts w:ascii="宋体" w:hAnsi="宋体" w:eastAsia="宋体"/>
          <w:b w:val="0"/>
          <w:sz w:val="24"/>
        </w:rPr>
      </w:pPr>
    </w:p>
    <w:p>
      <w:pPr>
        <w:spacing w:line="360" w:lineRule="auto"/>
        <w:ind w:firstLine="4980" w:firstLineChars="2075"/>
      </w:pPr>
      <w:r>
        <w:rPr>
          <w:rFonts w:ascii="宋体" w:hAnsi="宋体" w:eastAsia="宋体"/>
          <w:b w:val="0"/>
          <w:sz w:val="24"/>
        </w:rPr>
        <w:t>投标人（公章）：____________</w:t>
      </w:r>
    </w:p>
    <w:p>
      <w:pPr>
        <w:spacing w:line="360" w:lineRule="auto"/>
        <w:ind w:firstLine="4980" w:firstLineChars="2075"/>
      </w:pPr>
      <w:r>
        <w:rPr>
          <w:rFonts w:ascii="宋体" w:hAnsi="宋体" w:eastAsia="宋体"/>
          <w:b w:val="0"/>
          <w:sz w:val="24"/>
        </w:rPr>
        <w:t>法定代表人签字：____________</w:t>
      </w:r>
    </w:p>
    <w:p>
      <w:pPr>
        <w:spacing w:line="360" w:lineRule="auto"/>
        <w:ind w:firstLine="4980" w:firstLineChars="2075"/>
      </w:pPr>
      <w:r>
        <w:rPr>
          <w:rFonts w:ascii="宋体" w:hAnsi="宋体" w:eastAsia="宋体"/>
          <w:b w:val="0"/>
          <w:sz w:val="24"/>
        </w:rPr>
        <w:t>日期：2026年____月____日</w:t>
      </w:r>
    </w:p>
    <w:p>
      <w:pPr>
        <w:jc w:val="left"/>
        <w:rPr>
          <w:rFonts w:ascii="黑体" w:hAnsi="黑体" w:eastAsia="黑体"/>
          <w:b/>
          <w:sz w:val="28"/>
        </w:rPr>
      </w:pPr>
    </w:p>
    <w:p>
      <w:pPr>
        <w:jc w:val="left"/>
        <w:rPr>
          <w:rFonts w:ascii="黑体" w:hAnsi="黑体" w:eastAsia="黑体"/>
          <w:b/>
          <w:sz w:val="28"/>
        </w:rPr>
      </w:pPr>
    </w:p>
    <w:p>
      <w:pPr>
        <w:jc w:val="left"/>
        <w:rPr>
          <w:rFonts w:ascii="黑体" w:hAnsi="黑体" w:eastAsia="黑体"/>
          <w:b/>
          <w:sz w:val="28"/>
        </w:rPr>
      </w:pPr>
    </w:p>
    <w:p>
      <w:pPr>
        <w:jc w:val="left"/>
        <w:rPr>
          <w:rFonts w:ascii="黑体" w:hAnsi="黑体" w:eastAsia="黑体"/>
          <w:b/>
          <w:sz w:val="28"/>
        </w:rPr>
      </w:pPr>
    </w:p>
    <w:p>
      <w:pPr>
        <w:jc w:val="left"/>
        <w:rPr>
          <w:rFonts w:ascii="黑体" w:hAnsi="黑体" w:eastAsia="黑体"/>
          <w:b/>
          <w:sz w:val="28"/>
        </w:rPr>
      </w:pPr>
    </w:p>
    <w:p>
      <w:pPr>
        <w:jc w:val="left"/>
        <w:outlineLvl w:val="0"/>
      </w:pPr>
      <w:bookmarkStart w:id="26" w:name="_Toc10656"/>
      <w:r>
        <w:rPr>
          <w:rFonts w:ascii="黑体" w:hAnsi="黑体" w:eastAsia="黑体"/>
          <w:b/>
          <w:sz w:val="28"/>
        </w:rPr>
        <w:t>格式13  技术参数偏离佐证材料目录</w:t>
      </w:r>
      <w:bookmarkEnd w:id="26"/>
    </w:p>
    <w:p>
      <w:pPr>
        <w:spacing w:line="360" w:lineRule="auto"/>
        <w:jc w:val="center"/>
        <w:outlineLvl w:val="1"/>
      </w:pPr>
      <w:r>
        <w:rPr>
          <w:rFonts w:ascii="宋体" w:hAnsi="宋体" w:eastAsia="宋体"/>
          <w:b/>
          <w:sz w:val="24"/>
        </w:rPr>
        <w:t>佐证材料目录</w:t>
      </w:r>
    </w:p>
    <w:p>
      <w:pPr>
        <w:keepNext w:val="0"/>
        <w:keepLines w:val="0"/>
        <w:pageBreakBefore w:val="0"/>
        <w:widowControl/>
        <w:kinsoku/>
        <w:wordWrap/>
        <w:overflowPunct/>
        <w:topLinePunct w:val="0"/>
        <w:autoSpaceDE/>
        <w:autoSpaceDN/>
        <w:bidi w:val="0"/>
        <w:adjustRightInd/>
        <w:snapToGrid/>
        <w:spacing w:after="0" w:line="360" w:lineRule="auto"/>
        <w:textAlignment w:val="auto"/>
      </w:pP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2"/>
      </w:pPr>
      <w:r>
        <w:rPr>
          <w:rFonts w:ascii="宋体" w:hAnsi="宋体" w:eastAsia="宋体"/>
          <w:b w:val="0"/>
          <w:sz w:val="24"/>
        </w:rPr>
        <w:t>1.整车工信部公告、新能源推荐目录复印件</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2"/>
      </w:pPr>
      <w:r>
        <w:rPr>
          <w:rFonts w:ascii="宋体" w:hAnsi="宋体" w:eastAsia="宋体"/>
          <w:b w:val="0"/>
          <w:sz w:val="24"/>
        </w:rPr>
        <w:t>2.营运客车等级评定证书</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2"/>
      </w:pPr>
      <w:r>
        <w:rPr>
          <w:rFonts w:ascii="宋体" w:hAnsi="宋体" w:eastAsia="宋体"/>
          <w:b w:val="0"/>
          <w:sz w:val="24"/>
        </w:rPr>
        <w:t>3.三电系统第三方检测报告</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2"/>
      </w:pPr>
      <w:r>
        <w:rPr>
          <w:rFonts w:hint="eastAsia"/>
          <w:b w:val="0"/>
          <w:sz w:val="24"/>
          <w:lang w:val="en-US" w:eastAsia="zh-CN"/>
        </w:rPr>
        <w:t>4</w:t>
      </w:r>
      <w:r>
        <w:rPr>
          <w:rFonts w:ascii="宋体" w:hAnsi="宋体" w:eastAsia="宋体"/>
          <w:b w:val="0"/>
          <w:sz w:val="24"/>
        </w:rPr>
        <w:t>.售后网点营业执照、维保场地证明</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2"/>
      </w:pPr>
      <w:r>
        <w:rPr>
          <w:rFonts w:hint="eastAsia"/>
          <w:b w:val="0"/>
          <w:sz w:val="24"/>
          <w:lang w:val="en-US" w:eastAsia="zh-CN"/>
        </w:rPr>
        <w:t>5</w:t>
      </w:r>
      <w:r>
        <w:rPr>
          <w:rFonts w:ascii="宋体" w:hAnsi="宋体" w:eastAsia="宋体"/>
          <w:b w:val="0"/>
          <w:sz w:val="24"/>
        </w:rPr>
        <w:t>.同类项目合同、验收单业绩材料</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2"/>
      </w:pPr>
      <w:r>
        <w:rPr>
          <w:rFonts w:hint="eastAsia"/>
          <w:b w:val="0"/>
          <w:sz w:val="24"/>
          <w:lang w:val="en-US" w:eastAsia="zh-CN"/>
        </w:rPr>
        <w:t>6</w:t>
      </w:r>
      <w:r>
        <w:rPr>
          <w:rFonts w:ascii="宋体" w:hAnsi="宋体" w:eastAsia="宋体"/>
          <w:b w:val="0"/>
          <w:sz w:val="24"/>
        </w:rPr>
        <w:t>.信用中国/信用厦门查询截图</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2"/>
      </w:pPr>
      <w:r>
        <w:rPr>
          <w:rFonts w:hint="eastAsia"/>
          <w:b w:val="0"/>
          <w:sz w:val="24"/>
          <w:lang w:val="en-US" w:eastAsia="zh-CN"/>
        </w:rPr>
        <w:t>7</w:t>
      </w:r>
      <w:r>
        <w:rPr>
          <w:rFonts w:ascii="宋体" w:hAnsi="宋体" w:eastAsia="宋体"/>
          <w:b w:val="0"/>
          <w:sz w:val="24"/>
        </w:rPr>
        <w:t>.企业近一年财务报表</w:t>
      </w:r>
    </w:p>
    <w:p>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2"/>
      </w:pPr>
      <w:r>
        <w:rPr>
          <w:rFonts w:hint="eastAsia"/>
          <w:b w:val="0"/>
          <w:sz w:val="24"/>
          <w:lang w:val="en-US" w:eastAsia="zh-CN"/>
        </w:rPr>
        <w:t>8</w:t>
      </w:r>
      <w:r>
        <w:rPr>
          <w:rFonts w:ascii="宋体" w:hAnsi="宋体" w:eastAsia="宋体"/>
          <w:b w:val="0"/>
          <w:sz w:val="24"/>
        </w:rPr>
        <w:t>.其他补充证明材料</w:t>
      </w:r>
    </w:p>
    <w:p/>
    <w:p/>
    <w:sectPr>
      <w:pgSz w:w="12240" w:h="15840"/>
      <w:pgMar w:top="1417" w:right="1417" w:bottom="1417" w:left="1417"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tentative="0">
      <w:start w:val="1"/>
      <w:numFmt w:val="decimal"/>
      <w:pStyle w:val="22"/>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5"/>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0"/>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6"/>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8"/>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37F4620"/>
    <w:rsid w:val="0B995F4A"/>
    <w:rsid w:val="0E5771C1"/>
    <w:rsid w:val="0F120572"/>
    <w:rsid w:val="112151A8"/>
    <w:rsid w:val="17AD774F"/>
    <w:rsid w:val="19B343CC"/>
    <w:rsid w:val="1BD6200B"/>
    <w:rsid w:val="26354434"/>
    <w:rsid w:val="27674175"/>
    <w:rsid w:val="2A0B588A"/>
    <w:rsid w:val="2A231F2A"/>
    <w:rsid w:val="2AE64608"/>
    <w:rsid w:val="2FFD7D8F"/>
    <w:rsid w:val="374D75BD"/>
    <w:rsid w:val="3ADA758F"/>
    <w:rsid w:val="3F9C48EF"/>
    <w:rsid w:val="425C14D1"/>
    <w:rsid w:val="496B0F99"/>
    <w:rsid w:val="52C74B5B"/>
    <w:rsid w:val="57C12E2F"/>
    <w:rsid w:val="5A066C49"/>
    <w:rsid w:val="5DAC2FE3"/>
    <w:rsid w:val="5F0A539D"/>
    <w:rsid w:val="5FED47B3"/>
    <w:rsid w:val="65331ABA"/>
    <w:rsid w:val="662F1F62"/>
    <w:rsid w:val="69341673"/>
    <w:rsid w:val="6C413F85"/>
    <w:rsid w:val="7449225A"/>
    <w:rsid w:val="758B104F"/>
    <w:rsid w:val="76714EE9"/>
    <w:rsid w:val="79FF5758"/>
    <w:rsid w:val="7E4B4FB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276" w:lineRule="auto"/>
    </w:pPr>
    <w:rPr>
      <w:rFonts w:ascii="宋体" w:hAnsi="宋体" w:eastAsia="宋体" w:cstheme="minorBidi"/>
      <w:sz w:val="24"/>
      <w:szCs w:val="22"/>
      <w:lang w:val="en-US" w:eastAsia="en-US" w:bidi="ar-SA"/>
    </w:rPr>
  </w:style>
  <w:style w:type="paragraph" w:styleId="5">
    <w:name w:val="heading 1"/>
    <w:basedOn w:val="1"/>
    <w:next w:val="1"/>
    <w:link w:val="143"/>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6">
    <w:name w:val="heading 2"/>
    <w:basedOn w:val="1"/>
    <w:next w:val="1"/>
    <w:link w:val="144"/>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7">
    <w:name w:val="heading 3"/>
    <w:basedOn w:val="1"/>
    <w:next w:val="1"/>
    <w:link w:val="145"/>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8">
    <w:name w:val="heading 4"/>
    <w:basedOn w:val="1"/>
    <w:next w:val="1"/>
    <w:link w:val="155"/>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9">
    <w:name w:val="heading 5"/>
    <w:basedOn w:val="1"/>
    <w:next w:val="1"/>
    <w:link w:val="156"/>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10">
    <w:name w:val="heading 6"/>
    <w:basedOn w:val="1"/>
    <w:next w:val="1"/>
    <w:link w:val="157"/>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1">
    <w:name w:val="heading 7"/>
    <w:basedOn w:val="1"/>
    <w:next w:val="1"/>
    <w:link w:val="158"/>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2">
    <w:name w:val="heading 8"/>
    <w:basedOn w:val="1"/>
    <w:next w:val="1"/>
    <w:link w:val="159"/>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3">
    <w:name w:val="heading 9"/>
    <w:basedOn w:val="1"/>
    <w:next w:val="1"/>
    <w:link w:val="160"/>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7">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1"/>
    <w:qFormat/>
    <w:uiPriority w:val="0"/>
    <w:pPr>
      <w:ind w:firstLine="630" w:firstLineChars="200"/>
    </w:pPr>
    <w:rPr>
      <w:b/>
      <w:bCs/>
      <w:sz w:val="32"/>
    </w:rPr>
  </w:style>
  <w:style w:type="paragraph" w:styleId="4">
    <w:name w:val="macro"/>
    <w:link w:val="152"/>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4">
    <w:name w:val="List 3"/>
    <w:basedOn w:val="1"/>
    <w:unhideWhenUsed/>
    <w:qFormat/>
    <w:uiPriority w:val="99"/>
    <w:pPr>
      <w:ind w:left="1080" w:hanging="360"/>
      <w:contextualSpacing/>
    </w:pPr>
  </w:style>
  <w:style w:type="paragraph" w:styleId="15">
    <w:name w:val="List Number 2"/>
    <w:basedOn w:val="1"/>
    <w:unhideWhenUsed/>
    <w:qFormat/>
    <w:uiPriority w:val="99"/>
    <w:pPr>
      <w:numPr>
        <w:ilvl w:val="0"/>
        <w:numId w:val="1"/>
      </w:numPr>
      <w:contextualSpacing/>
    </w:pPr>
  </w:style>
  <w:style w:type="paragraph" w:styleId="16">
    <w:name w:val="List Number"/>
    <w:basedOn w:val="1"/>
    <w:unhideWhenUsed/>
    <w:qFormat/>
    <w:uiPriority w:val="99"/>
    <w:pPr>
      <w:numPr>
        <w:ilvl w:val="0"/>
        <w:numId w:val="2"/>
      </w:numPr>
      <w:contextualSpacing/>
    </w:pPr>
  </w:style>
  <w:style w:type="paragraph" w:styleId="17">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8">
    <w:name w:val="List Bullet"/>
    <w:basedOn w:val="1"/>
    <w:unhideWhenUsed/>
    <w:qFormat/>
    <w:uiPriority w:val="99"/>
    <w:pPr>
      <w:numPr>
        <w:ilvl w:val="0"/>
        <w:numId w:val="3"/>
      </w:numPr>
      <w:contextualSpacing/>
    </w:pPr>
  </w:style>
  <w:style w:type="paragraph" w:styleId="19">
    <w:name w:val="Body Text 3"/>
    <w:basedOn w:val="1"/>
    <w:link w:val="151"/>
    <w:unhideWhenUsed/>
    <w:qFormat/>
    <w:uiPriority w:val="99"/>
    <w:pPr>
      <w:spacing w:after="120"/>
    </w:pPr>
    <w:rPr>
      <w:sz w:val="16"/>
      <w:szCs w:val="16"/>
    </w:rPr>
  </w:style>
  <w:style w:type="paragraph" w:styleId="20">
    <w:name w:val="List Bullet 3"/>
    <w:basedOn w:val="1"/>
    <w:unhideWhenUsed/>
    <w:qFormat/>
    <w:uiPriority w:val="99"/>
    <w:pPr>
      <w:numPr>
        <w:ilvl w:val="0"/>
        <w:numId w:val="4"/>
      </w:numPr>
      <w:contextualSpacing/>
    </w:pPr>
  </w:style>
  <w:style w:type="paragraph" w:styleId="21">
    <w:name w:val="Body Text"/>
    <w:basedOn w:val="1"/>
    <w:link w:val="149"/>
    <w:unhideWhenUsed/>
    <w:qFormat/>
    <w:uiPriority w:val="99"/>
    <w:pPr>
      <w:spacing w:after="120"/>
    </w:pPr>
  </w:style>
  <w:style w:type="paragraph" w:styleId="22">
    <w:name w:val="List Number 3"/>
    <w:basedOn w:val="1"/>
    <w:unhideWhenUsed/>
    <w:qFormat/>
    <w:uiPriority w:val="99"/>
    <w:pPr>
      <w:numPr>
        <w:ilvl w:val="0"/>
        <w:numId w:val="5"/>
      </w:numPr>
      <w:contextualSpacing/>
    </w:pPr>
  </w:style>
  <w:style w:type="paragraph" w:styleId="23">
    <w:name w:val="List 2"/>
    <w:basedOn w:val="1"/>
    <w:unhideWhenUsed/>
    <w:qFormat/>
    <w:uiPriority w:val="99"/>
    <w:pPr>
      <w:ind w:left="720" w:hanging="360"/>
      <w:contextualSpacing/>
    </w:pPr>
  </w:style>
  <w:style w:type="paragraph" w:styleId="24">
    <w:name w:val="List Continue"/>
    <w:basedOn w:val="1"/>
    <w:unhideWhenUsed/>
    <w:qFormat/>
    <w:uiPriority w:val="99"/>
    <w:pPr>
      <w:spacing w:after="120"/>
      <w:ind w:left="360"/>
      <w:contextualSpacing/>
    </w:pPr>
  </w:style>
  <w:style w:type="paragraph" w:styleId="25">
    <w:name w:val="List Bullet 2"/>
    <w:basedOn w:val="1"/>
    <w:unhideWhenUsed/>
    <w:qFormat/>
    <w:uiPriority w:val="99"/>
    <w:pPr>
      <w:numPr>
        <w:ilvl w:val="0"/>
        <w:numId w:val="6"/>
      </w:numPr>
      <w:contextualSpacing/>
    </w:pPr>
  </w:style>
  <w:style w:type="paragraph" w:styleId="26">
    <w:name w:val="toc 3"/>
    <w:basedOn w:val="1"/>
    <w:next w:val="1"/>
    <w:semiHidden/>
    <w:unhideWhenUsed/>
    <w:qFormat/>
    <w:uiPriority w:val="39"/>
    <w:pPr>
      <w:ind w:left="840" w:leftChars="400"/>
    </w:pPr>
  </w:style>
  <w:style w:type="paragraph" w:styleId="27">
    <w:name w:val="footer"/>
    <w:basedOn w:val="1"/>
    <w:link w:val="141"/>
    <w:unhideWhenUsed/>
    <w:qFormat/>
    <w:uiPriority w:val="99"/>
    <w:pPr>
      <w:tabs>
        <w:tab w:val="center" w:pos="4680"/>
        <w:tab w:val="right" w:pos="9360"/>
      </w:tabs>
      <w:spacing w:after="0" w:line="240" w:lineRule="auto"/>
    </w:pPr>
  </w:style>
  <w:style w:type="paragraph" w:styleId="28">
    <w:name w:val="header"/>
    <w:basedOn w:val="1"/>
    <w:link w:val="140"/>
    <w:unhideWhenUsed/>
    <w:qFormat/>
    <w:uiPriority w:val="99"/>
    <w:pPr>
      <w:tabs>
        <w:tab w:val="center" w:pos="4680"/>
        <w:tab w:val="right" w:pos="9360"/>
      </w:tabs>
      <w:spacing w:after="0" w:line="240" w:lineRule="auto"/>
    </w:pPr>
  </w:style>
  <w:style w:type="paragraph" w:styleId="29">
    <w:name w:val="toc 1"/>
    <w:basedOn w:val="1"/>
    <w:next w:val="1"/>
    <w:semiHidden/>
    <w:unhideWhenUsed/>
    <w:qFormat/>
    <w:uiPriority w:val="39"/>
  </w:style>
  <w:style w:type="paragraph" w:styleId="30">
    <w:name w:val="Subtitle"/>
    <w:basedOn w:val="1"/>
    <w:next w:val="1"/>
    <w:link w:val="14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1">
    <w:name w:val="List"/>
    <w:basedOn w:val="1"/>
    <w:unhideWhenUsed/>
    <w:qFormat/>
    <w:uiPriority w:val="99"/>
    <w:pPr>
      <w:ind w:left="360" w:hanging="360"/>
      <w:contextualSpacing/>
    </w:pPr>
  </w:style>
  <w:style w:type="paragraph" w:styleId="32">
    <w:name w:val="toc 2"/>
    <w:basedOn w:val="1"/>
    <w:next w:val="1"/>
    <w:semiHidden/>
    <w:unhideWhenUsed/>
    <w:qFormat/>
    <w:uiPriority w:val="39"/>
    <w:pPr>
      <w:ind w:left="420" w:leftChars="200"/>
    </w:pPr>
  </w:style>
  <w:style w:type="paragraph" w:styleId="33">
    <w:name w:val="Body Text 2"/>
    <w:basedOn w:val="1"/>
    <w:link w:val="150"/>
    <w:unhideWhenUsed/>
    <w:qFormat/>
    <w:uiPriority w:val="99"/>
    <w:pPr>
      <w:spacing w:after="120" w:line="480" w:lineRule="auto"/>
    </w:pPr>
  </w:style>
  <w:style w:type="paragraph" w:styleId="34">
    <w:name w:val="List Continue 2"/>
    <w:basedOn w:val="1"/>
    <w:unhideWhenUsed/>
    <w:qFormat/>
    <w:uiPriority w:val="99"/>
    <w:pPr>
      <w:spacing w:after="120"/>
      <w:ind w:left="720"/>
      <w:contextualSpacing/>
    </w:pPr>
  </w:style>
  <w:style w:type="paragraph" w:styleId="35">
    <w:name w:val="List Continue 3"/>
    <w:basedOn w:val="1"/>
    <w:unhideWhenUsed/>
    <w:qFormat/>
    <w:uiPriority w:val="99"/>
    <w:pPr>
      <w:spacing w:after="120"/>
      <w:ind w:left="1080"/>
      <w:contextualSpacing/>
    </w:pPr>
  </w:style>
  <w:style w:type="paragraph" w:styleId="36">
    <w:name w:val="Title"/>
    <w:basedOn w:val="1"/>
    <w:next w:val="1"/>
    <w:link w:val="146"/>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8">
    <w:name w:val="Table Grid"/>
    <w:basedOn w:val="37"/>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9">
    <w:name w:val="Light Shading"/>
    <w:basedOn w:val="37"/>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0">
    <w:name w:val="Light Shading Accent 1"/>
    <w:basedOn w:val="37"/>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1">
    <w:name w:val="Light Shading Accent 2"/>
    <w:basedOn w:val="37"/>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2">
    <w:name w:val="Light Shading Accent 3"/>
    <w:basedOn w:val="37"/>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3">
    <w:name w:val="Light Shading Accent 4"/>
    <w:basedOn w:val="37"/>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4">
    <w:name w:val="Light Shading Accent 5"/>
    <w:basedOn w:val="37"/>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5">
    <w:name w:val="Light Shading Accent 6"/>
    <w:basedOn w:val="37"/>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6">
    <w:name w:val="Light List"/>
    <w:basedOn w:val="37"/>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7">
    <w:name w:val="Light List Accent 1"/>
    <w:basedOn w:val="37"/>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8">
    <w:name w:val="Light List Accent 2"/>
    <w:basedOn w:val="37"/>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9">
    <w:name w:val="Light List Accent 3"/>
    <w:basedOn w:val="37"/>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0">
    <w:name w:val="Light List Accent 4"/>
    <w:basedOn w:val="37"/>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1">
    <w:name w:val="Light List Accent 5"/>
    <w:basedOn w:val="37"/>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2">
    <w:name w:val="Light List Accent 6"/>
    <w:basedOn w:val="37"/>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3">
    <w:name w:val="Light Grid"/>
    <w:basedOn w:val="37"/>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4">
    <w:name w:val="Light Grid Accent 1"/>
    <w:basedOn w:val="37"/>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5">
    <w:name w:val="Light Grid Accent 2"/>
    <w:basedOn w:val="37"/>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6">
    <w:name w:val="Light Grid Accent 3"/>
    <w:basedOn w:val="37"/>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7">
    <w:name w:val="Light Grid Accent 4"/>
    <w:basedOn w:val="37"/>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8">
    <w:name w:val="Light Grid Accent 5"/>
    <w:basedOn w:val="37"/>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9">
    <w:name w:val="Light Grid Accent 6"/>
    <w:basedOn w:val="37"/>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0">
    <w:name w:val="Medium Shading 1"/>
    <w:basedOn w:val="37"/>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1">
    <w:name w:val="Medium Shading 1 Accent 1"/>
    <w:basedOn w:val="37"/>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2">
    <w:name w:val="Medium Shading 1 Accent 2"/>
    <w:basedOn w:val="37"/>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3">
    <w:name w:val="Medium Shading 1 Accent 3"/>
    <w:basedOn w:val="37"/>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4">
    <w:name w:val="Medium Shading 1 Accent 4"/>
    <w:basedOn w:val="37"/>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5">
    <w:name w:val="Medium Shading 1 Accent 5"/>
    <w:basedOn w:val="37"/>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6">
    <w:name w:val="Medium Shading 1 Accent 6"/>
    <w:basedOn w:val="37"/>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7">
    <w:name w:val="Medium Shading 2"/>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1"/>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2"/>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3"/>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4"/>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5"/>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6"/>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List 1"/>
    <w:basedOn w:val="37"/>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5">
    <w:name w:val="Medium List 1 Accent 1"/>
    <w:basedOn w:val="37"/>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6">
    <w:name w:val="Medium List 1 Accent 2"/>
    <w:basedOn w:val="37"/>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7">
    <w:name w:val="Medium List 1 Accent 3"/>
    <w:basedOn w:val="37"/>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8">
    <w:name w:val="Medium List 1 Accent 4"/>
    <w:basedOn w:val="37"/>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9">
    <w:name w:val="Medium List 1 Accent 5"/>
    <w:basedOn w:val="37"/>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0">
    <w:name w:val="Medium List 1 Accent 6"/>
    <w:basedOn w:val="37"/>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1">
    <w:name w:val="Medium List 2"/>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1"/>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2"/>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3"/>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4"/>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5"/>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6"/>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Grid 1"/>
    <w:basedOn w:val="37"/>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9">
    <w:name w:val="Medium Grid 1 Accent 1"/>
    <w:basedOn w:val="37"/>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0">
    <w:name w:val="Medium Grid 1 Accent 2"/>
    <w:basedOn w:val="37"/>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1">
    <w:name w:val="Medium Grid 1 Accent 3"/>
    <w:basedOn w:val="37"/>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2">
    <w:name w:val="Medium Grid 1 Accent 4"/>
    <w:basedOn w:val="37"/>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3">
    <w:name w:val="Medium Grid 1 Accent 5"/>
    <w:basedOn w:val="37"/>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4">
    <w:name w:val="Medium Grid 1 Accent 6"/>
    <w:basedOn w:val="37"/>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5">
    <w:name w:val="Medium Grid 2"/>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6">
    <w:name w:val="Medium Grid 2 Accent 1"/>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7">
    <w:name w:val="Medium Grid 2 Accent 2"/>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8">
    <w:name w:val="Medium Grid 2 Accent 3"/>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9">
    <w:name w:val="Medium Grid 2 Accent 4"/>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0">
    <w:name w:val="Medium Grid 2 Accent 5"/>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1">
    <w:name w:val="Medium Grid 2 Accent 6"/>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2">
    <w:name w:val="Medium Grid 3"/>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3">
    <w:name w:val="Medium Grid 3 Accent 1"/>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4">
    <w:name w:val="Medium Grid 3 Accent 2"/>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5">
    <w:name w:val="Medium Grid 3 Accent 3"/>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6">
    <w:name w:val="Medium Grid 3 Accent 4"/>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7">
    <w:name w:val="Medium Grid 3 Accent 5"/>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8">
    <w:name w:val="Medium Grid 3 Accent 6"/>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9">
    <w:name w:val="Dark List"/>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0">
    <w:name w:val="Dark List Accent 1"/>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1">
    <w:name w:val="Dark List Accent 2"/>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2">
    <w:name w:val="Dark List Accent 3"/>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3">
    <w:name w:val="Dark List Accent 4"/>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4">
    <w:name w:val="Dark List Accent 5"/>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5">
    <w:name w:val="Dark List Accent 6"/>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6">
    <w:name w:val="Colorful Shading"/>
    <w:basedOn w:val="37"/>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1"/>
    <w:basedOn w:val="37"/>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2"/>
    <w:basedOn w:val="37"/>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3"/>
    <w:basedOn w:val="37"/>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0">
    <w:name w:val="Colorful Shading Accent 4"/>
    <w:basedOn w:val="37"/>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5"/>
    <w:basedOn w:val="37"/>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6"/>
    <w:basedOn w:val="37"/>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List"/>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4">
    <w:name w:val="Colorful List Accent 1"/>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5">
    <w:name w:val="Colorful List Accent 2"/>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6">
    <w:name w:val="Colorful List Accent 3"/>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7">
    <w:name w:val="Colorful List Accent 4"/>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8">
    <w:name w:val="Colorful List Accent 5"/>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9">
    <w:name w:val="Colorful List Accent 6"/>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0">
    <w:name w:val="Colorful Grid"/>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1">
    <w:name w:val="Colorful Grid Accent 1"/>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2">
    <w:name w:val="Colorful Grid Accent 2"/>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3">
    <w:name w:val="Colorful Grid Accent 3"/>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4">
    <w:name w:val="Colorful Grid Accent 4"/>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5">
    <w:name w:val="Colorful Grid Accent 5"/>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6">
    <w:name w:val="Colorful Grid Accent 6"/>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8">
    <w:name w:val="Strong"/>
    <w:basedOn w:val="137"/>
    <w:qFormat/>
    <w:uiPriority w:val="22"/>
    <w:rPr>
      <w:b/>
      <w:bCs/>
    </w:rPr>
  </w:style>
  <w:style w:type="character" w:styleId="139">
    <w:name w:val="Emphasis"/>
    <w:basedOn w:val="137"/>
    <w:qFormat/>
    <w:uiPriority w:val="20"/>
    <w:rPr>
      <w:i/>
      <w:iCs/>
    </w:rPr>
  </w:style>
  <w:style w:type="character" w:customStyle="1" w:styleId="140">
    <w:name w:val="Header Char"/>
    <w:basedOn w:val="137"/>
    <w:link w:val="28"/>
    <w:qFormat/>
    <w:uiPriority w:val="99"/>
  </w:style>
  <w:style w:type="character" w:customStyle="1" w:styleId="141">
    <w:name w:val="Footer Char"/>
    <w:basedOn w:val="137"/>
    <w:link w:val="27"/>
    <w:qFormat/>
    <w:uiPriority w:val="99"/>
  </w:style>
  <w:style w:type="paragraph" w:styleId="142">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3">
    <w:name w:val="Heading 1 Char"/>
    <w:basedOn w:val="137"/>
    <w:link w:val="5"/>
    <w:qFormat/>
    <w:uiPriority w:val="9"/>
    <w:rPr>
      <w:rFonts w:asciiTheme="majorHAnsi" w:hAnsiTheme="majorHAnsi" w:eastAsiaTheme="majorEastAsia" w:cstheme="majorBidi"/>
      <w:b/>
      <w:bCs/>
      <w:color w:val="376092" w:themeColor="accent1" w:themeShade="BF"/>
      <w:sz w:val="28"/>
      <w:szCs w:val="28"/>
    </w:rPr>
  </w:style>
  <w:style w:type="character" w:customStyle="1" w:styleId="144">
    <w:name w:val="Heading 2 Char"/>
    <w:basedOn w:val="137"/>
    <w:link w:val="6"/>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5">
    <w:name w:val="Heading 3 Char"/>
    <w:basedOn w:val="137"/>
    <w:link w:val="7"/>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6">
    <w:name w:val="Title Char"/>
    <w:basedOn w:val="137"/>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7">
    <w:name w:val="Subtitle Char"/>
    <w:basedOn w:val="137"/>
    <w:link w:val="30"/>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8">
    <w:name w:val="List Paragraph"/>
    <w:basedOn w:val="1"/>
    <w:qFormat/>
    <w:uiPriority w:val="34"/>
    <w:pPr>
      <w:ind w:left="720"/>
      <w:contextualSpacing/>
    </w:pPr>
  </w:style>
  <w:style w:type="character" w:customStyle="1" w:styleId="149">
    <w:name w:val="Body Text Char"/>
    <w:basedOn w:val="137"/>
    <w:link w:val="21"/>
    <w:qFormat/>
    <w:uiPriority w:val="99"/>
  </w:style>
  <w:style w:type="character" w:customStyle="1" w:styleId="150">
    <w:name w:val="Body Text 2 Char"/>
    <w:basedOn w:val="137"/>
    <w:link w:val="33"/>
    <w:qFormat/>
    <w:uiPriority w:val="99"/>
  </w:style>
  <w:style w:type="character" w:customStyle="1" w:styleId="151">
    <w:name w:val="Body Text 3 Char"/>
    <w:basedOn w:val="137"/>
    <w:link w:val="19"/>
    <w:qFormat/>
    <w:uiPriority w:val="99"/>
    <w:rPr>
      <w:sz w:val="16"/>
      <w:szCs w:val="16"/>
    </w:rPr>
  </w:style>
  <w:style w:type="character" w:customStyle="1" w:styleId="152">
    <w:name w:val="Macro Text Char"/>
    <w:basedOn w:val="137"/>
    <w:link w:val="4"/>
    <w:qFormat/>
    <w:uiPriority w:val="99"/>
    <w:rPr>
      <w:rFonts w:ascii="Courier" w:hAnsi="Courier"/>
      <w:sz w:val="20"/>
      <w:szCs w:val="20"/>
    </w:rPr>
  </w:style>
  <w:style w:type="paragraph" w:styleId="153">
    <w:name w:val="Quote"/>
    <w:basedOn w:val="1"/>
    <w:next w:val="1"/>
    <w:link w:val="154"/>
    <w:qFormat/>
    <w:uiPriority w:val="29"/>
    <w:rPr>
      <w:i/>
      <w:iCs/>
      <w:color w:val="000000" w:themeColor="text1"/>
      <w14:textFill>
        <w14:solidFill>
          <w14:schemeClr w14:val="tx1"/>
        </w14:solidFill>
      </w14:textFill>
    </w:rPr>
  </w:style>
  <w:style w:type="character" w:customStyle="1" w:styleId="154">
    <w:name w:val="Quote Char"/>
    <w:basedOn w:val="137"/>
    <w:link w:val="153"/>
    <w:qFormat/>
    <w:uiPriority w:val="29"/>
    <w:rPr>
      <w:i/>
      <w:iCs/>
      <w:color w:val="000000" w:themeColor="text1"/>
      <w14:textFill>
        <w14:solidFill>
          <w14:schemeClr w14:val="tx1"/>
        </w14:solidFill>
      </w14:textFill>
    </w:rPr>
  </w:style>
  <w:style w:type="character" w:customStyle="1" w:styleId="155">
    <w:name w:val="Heading 4 Char"/>
    <w:basedOn w:val="137"/>
    <w:link w:val="8"/>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6">
    <w:name w:val="Heading 5 Char"/>
    <w:basedOn w:val="137"/>
    <w:link w:val="9"/>
    <w:semiHidden/>
    <w:qFormat/>
    <w:uiPriority w:val="9"/>
    <w:rPr>
      <w:rFonts w:asciiTheme="majorHAnsi" w:hAnsiTheme="majorHAnsi" w:eastAsiaTheme="majorEastAsia" w:cstheme="majorBidi"/>
      <w:color w:val="254061" w:themeColor="accent1" w:themeShade="80"/>
    </w:rPr>
  </w:style>
  <w:style w:type="character" w:customStyle="1" w:styleId="157">
    <w:name w:val="Heading 6 Char"/>
    <w:basedOn w:val="137"/>
    <w:link w:val="10"/>
    <w:semiHidden/>
    <w:qFormat/>
    <w:uiPriority w:val="9"/>
    <w:rPr>
      <w:rFonts w:asciiTheme="majorHAnsi" w:hAnsiTheme="majorHAnsi" w:eastAsiaTheme="majorEastAsia" w:cstheme="majorBidi"/>
      <w:i/>
      <w:iCs/>
      <w:color w:val="254061" w:themeColor="accent1" w:themeShade="80"/>
    </w:rPr>
  </w:style>
  <w:style w:type="character" w:customStyle="1" w:styleId="158">
    <w:name w:val="Heading 7 Char"/>
    <w:basedOn w:val="137"/>
    <w:link w:val="11"/>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9">
    <w:name w:val="Heading 8 Char"/>
    <w:basedOn w:val="137"/>
    <w:link w:val="12"/>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0">
    <w:name w:val="Heading 9 Char"/>
    <w:basedOn w:val="137"/>
    <w:link w:val="13"/>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1">
    <w:name w:val="Intense Quote"/>
    <w:basedOn w:val="1"/>
    <w:next w:val="1"/>
    <w:link w:val="162"/>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2">
    <w:name w:val="Intense Quote Char"/>
    <w:basedOn w:val="137"/>
    <w:link w:val="161"/>
    <w:qFormat/>
    <w:uiPriority w:val="30"/>
    <w:rPr>
      <w:b/>
      <w:bCs/>
      <w:i/>
      <w:iCs/>
      <w:color w:val="4F81BD" w:themeColor="accent1"/>
      <w14:textFill>
        <w14:solidFill>
          <w14:schemeClr w14:val="accent1"/>
        </w14:solidFill>
      </w14:textFill>
    </w:rPr>
  </w:style>
  <w:style w:type="character" w:customStyle="1" w:styleId="163">
    <w:name w:val="Subtle Emphasis"/>
    <w:basedOn w:val="137"/>
    <w:qFormat/>
    <w:uiPriority w:val="19"/>
    <w:rPr>
      <w:i/>
      <w:iCs/>
      <w:color w:val="808080" w:themeColor="text1" w:themeTint="80"/>
      <w14:textFill>
        <w14:solidFill>
          <w14:schemeClr w14:val="tx1">
            <w14:lumMod w14:val="50000"/>
            <w14:lumOff w14:val="50000"/>
          </w14:schemeClr>
        </w14:solidFill>
      </w14:textFill>
    </w:rPr>
  </w:style>
  <w:style w:type="character" w:customStyle="1" w:styleId="164">
    <w:name w:val="Intense Emphasis"/>
    <w:basedOn w:val="137"/>
    <w:qFormat/>
    <w:uiPriority w:val="21"/>
    <w:rPr>
      <w:b/>
      <w:bCs/>
      <w:i/>
      <w:iCs/>
      <w:color w:val="4F81BD" w:themeColor="accent1"/>
      <w14:textFill>
        <w14:solidFill>
          <w14:schemeClr w14:val="accent1"/>
        </w14:solidFill>
      </w14:textFill>
    </w:rPr>
  </w:style>
  <w:style w:type="character" w:customStyle="1" w:styleId="165">
    <w:name w:val="Subtle Reference"/>
    <w:basedOn w:val="137"/>
    <w:qFormat/>
    <w:uiPriority w:val="31"/>
    <w:rPr>
      <w:smallCaps/>
      <w:color w:val="C0504D" w:themeColor="accent2"/>
      <w:u w:val="single"/>
      <w14:textFill>
        <w14:solidFill>
          <w14:schemeClr w14:val="accent2"/>
        </w14:solidFill>
      </w14:textFill>
    </w:rPr>
  </w:style>
  <w:style w:type="character" w:customStyle="1" w:styleId="166">
    <w:name w:val="Intense Reference"/>
    <w:basedOn w:val="137"/>
    <w:qFormat/>
    <w:uiPriority w:val="32"/>
    <w:rPr>
      <w:b/>
      <w:bCs/>
      <w:smallCaps/>
      <w:color w:val="C0504D" w:themeColor="accent2"/>
      <w:spacing w:val="5"/>
      <w:u w:val="single"/>
      <w14:textFill>
        <w14:solidFill>
          <w14:schemeClr w14:val="accent2"/>
        </w14:solidFill>
      </w14:textFill>
    </w:rPr>
  </w:style>
  <w:style w:type="character" w:customStyle="1" w:styleId="167">
    <w:name w:val="Book Title"/>
    <w:basedOn w:val="137"/>
    <w:qFormat/>
    <w:uiPriority w:val="33"/>
    <w:rPr>
      <w:b/>
      <w:bCs/>
      <w:smallCaps/>
      <w:spacing w:val="5"/>
    </w:rPr>
  </w:style>
  <w:style w:type="paragraph" w:customStyle="1" w:styleId="168">
    <w:name w:val="TOC Heading"/>
    <w:basedOn w:val="5"/>
    <w:next w:val="1"/>
    <w:semiHidden/>
    <w:unhideWhenUsed/>
    <w:qFormat/>
    <w:uiPriority w:val="39"/>
    <w:pPr>
      <w:outlineLvl w:val="9"/>
    </w:pPr>
  </w:style>
  <w:style w:type="paragraph" w:customStyle="1" w:styleId="169">
    <w:name w:val="WPSOffice手动目录 1"/>
    <w:qFormat/>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8c5f99ea-05b0-4397-89bd-010f51c0fb5f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685B172F</paraID>
      <start>0</start>
      <end>2</end>
      <status>unmodified</status>
      <modifiedWord/>
      <trackRevisions>false</trackRevisions>
    </reviewItem>
    <reviewItem>
      <errorID>178e9b93-a0b2-4fda-9d7f-e32a7e74719b</errorID>
      <errorWord>的签署的</errorWord>
      <group>L1_Word</group>
      <groupName>字词问题</groupName>
      <ability>L2_Typo</ability>
      <abilityName>字词错误</abilityName>
      <candidateList>
        <item>签署的</item>
      </candidateList>
      <explain/>
      <paraID>685B172F</paraID>
      <start>64</start>
      <end>68</end>
      <status>unmodified</status>
      <modifiedWord/>
      <trackRevisions>false</trackRevisions>
    </reviewItem>
    <reviewItem>
      <errorID>766ad554-02b2-49e7-bb91-949cb8a5e5c7</errorID>
      <errorWord>其它证明</errorWord>
      <group>L1_Word</group>
      <groupName>字词问题</groupName>
      <ability>L2_Alias</ability>
      <abilityName>也作/曾用词</abilityName>
      <candidateList>
        <item>其他证明</item>
      </candidateList>
      <explain>词汇[其它证明]为不规范表述或旧称，其规范书面表述为[其他证明]。</explain>
      <paraID>685B172F</paraID>
      <start>179</start>
      <end>183</end>
      <status>unmodified</status>
      <modifiedWord/>
      <trackRevisions>false</trackRevisions>
    </reviewItem>
    <reviewItem>
      <errorID>a0492981-8eb5-4c8a-8f9f-18fe6ead3cba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1C5CD75B</paraID>
      <start>0</start>
      <end>2</end>
      <status>unmodified</status>
      <modifiedWord/>
      <trackRevisions>false</trackRevisions>
    </reviewItem>
    <reviewItem>
      <errorID>48498f1c-edb5-4c77-9c37-8b340f210f73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60FC17ED</paraID>
      <start>0</start>
      <end>2</end>
      <status>unmodified</status>
      <modifiedWord/>
      <trackRevisions>false</trackRevisions>
    </reviewItem>
    <reviewItem>
      <errorID>47ed7bd8-a9cd-4cc0-b9dd-8bf833343f39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6A6EA044</paraID>
      <start>0</start>
      <end>2</end>
      <status>unmodified</status>
      <modifiedWord/>
      <trackRevisions>false</trackRevisions>
    </reviewItem>
    <reviewItem>
      <errorID>89d88d0b-7ed0-4c8a-a57b-eeef75bf7ffd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4EDBB4BD</paraID>
      <start>0</start>
      <end>2</end>
      <status>unmodified</status>
      <modifiedWord/>
      <trackRevisions>false</trackRevisions>
    </reviewItem>
    <reviewItem>
      <errorID>1bc55d32-294c-4c62-82d5-d2710516ea2a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46B7FD86</paraID>
      <start>0</start>
      <end>2</end>
      <status>unmodified</status>
      <modifiedWord/>
      <trackRevisions>false</trackRevisions>
    </reviewItem>
    <reviewItem>
      <errorID>2ead154c-81ce-4ec0-9196-f95f7a63dd70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130397BB</paraID>
      <start>32</start>
      <end>35</end>
      <status>unmodified</status>
      <modifiedWord/>
      <trackRevisions>false</trackRevisions>
    </reviewItem>
    <reviewItem>
      <errorID>a30c155a-b54b-4e54-9c00-5e20fc709b73</errorID>
      <errorWord>(</errorWord>
      <group>L1_Format</group>
      <groupName>格式问题</groupName>
      <ability>L2_HalfPunc_CN</ability>
      <abilityName>全半角问题</abilityName>
      <candidateList>
        <item>（</item>
      </candidateList>
      <explain>文本全半角错误。</explain>
      <paraID>65F20435</paraID>
      <start>58</start>
      <end>59</end>
      <status>unmodified</status>
      <modifiedWord/>
      <trackRevisions>false</trackRevisions>
    </reviewItem>
    <reviewItem>
      <errorID>02608510-2cf0-469b-8384-7c5d7873026c</errorID>
      <errorWord>)</errorWord>
      <group>L1_Format</group>
      <groupName>格式问题</groupName>
      <ability>L2_HalfPunc_CN</ability>
      <abilityName>全半角问题</abilityName>
      <candidateList>
        <item>）</item>
      </candidateList>
      <explain>文本全半角错误。</explain>
      <paraID>65F20435</paraID>
      <start>80</start>
      <end>81</end>
      <status>unmodified</status>
      <modifiedWord/>
      <trackRevisions>false</trackRevisions>
    </reviewItem>
    <reviewItem>
      <errorID>368ce4d5-3953-4a78-8988-d249860a238c</errorID>
      <errorWord>(</errorWord>
      <group>L1_Format</group>
      <groupName>格式问题</groupName>
      <ability>L2_HalfPunc_CN</ability>
      <abilityName>全半角问题</abilityName>
      <candidateList>
        <item>（</item>
      </candidateList>
      <explain>文本全半角错误。</explain>
      <paraID>1D0D4D38</paraID>
      <start>47</start>
      <end>48</end>
      <status>unmodified</status>
      <modifiedWord/>
      <trackRevisions>false</trackRevisions>
    </reviewItem>
    <reviewItem>
      <errorID>95424d93-a052-4a81-8edb-a243f0d8457d</errorID>
      <errorWord>)</errorWord>
      <group>L1_Format</group>
      <groupName>格式问题</groupName>
      <ability>L2_HalfPunc_CN</ability>
      <abilityName>全半角问题</abilityName>
      <candidateList>
        <item>）</item>
      </candidateList>
      <explain>文本全半角错误。</explain>
      <paraID>1D0D4D38</paraID>
      <start>69</start>
      <end>70</end>
      <status>unmodified</status>
      <modifiedWord/>
      <trackRevisions>false</trackRevisions>
    </reviewItem>
    <reviewItem>
      <errorID>5cf114da-d86c-425a-9215-1d4cc3c7d3e5</errorID>
      <errorWord>招标投标法</errorWord>
      <group>L1_Knowledge</group>
      <groupName>知识性问题</groupName>
      <ability>L2_Knowledge</ability>
      <abilityName>其他知识</abilityName>
      <candidateList>
        <item>中华人民共和国招标投标法</item>
      </candidateList>
      <explain>当前法律法规名称使用简称，请注意是否应当使用全称。</explain>
      <paraID>2B4F4D48</paraID>
      <start>37</start>
      <end>42</end>
      <status>unmodified</status>
      <modifiedWord/>
      <trackRevisions>false</trackRevisions>
    </reviewItem>
    <reviewItem>
      <errorID>304671d7-f1ae-4621-bab3-f57f8add9cae</errorID>
      <errorWord>束</errorWord>
      <group>L1_Word</group>
      <groupName>字词问题</groupName>
      <ability>L2_Typo</ability>
      <abilityName>字词错误</abilityName>
      <candidateList>
        <item>束后</item>
      </candidateList>
      <explain/>
      <paraID>374AB5AA</paraID>
      <start>21</start>
      <end>22</end>
      <status>unmodified</status>
      <modifiedWord/>
      <trackRevisions>false</trackRevisions>
    </reviewItem>
    <reviewItem>
      <errorID>dc1bfb8c-b3cb-4ccc-b668-05eeb6fc1e2f</errorID>
      <errorWord>日</errorWord>
      <group>L1_Word</group>
      <groupName>字词问题</groupName>
      <ability>L2_Typo</ability>
      <abilityName>字词错误</abilityName>
      <candidateList>
        <item>日内</item>
      </candidateList>
      <explain/>
      <paraID>374AB5AA</paraID>
      <start>56</start>
      <end>57</end>
      <status>unmodified</status>
      <modifiedWord/>
      <trackRevisions>false</trackRevisions>
    </reviewItem>
    <reviewItem>
      <errorID>020e1397-2c8d-400e-9902-52b31ccf465e</errorID>
      <errorWord>，</errorWord>
      <group>L1_Word</group>
      <groupName>字词问题</groupName>
      <ability>L2_Typo</ability>
      <abilityName>字词错误</abilityName>
      <candidateList>
        <item>，并</item>
      </candidateList>
      <explain/>
      <paraID> 506A181</paraID>
      <start>22</start>
      <end>23</end>
      <status>unmodified</status>
      <modifiedWord/>
      <trackRevisions>false</trackRevisions>
    </reviewItem>
    <reviewItem>
      <errorID>dc79b457-6860-4929-a503-09fb88f21b80</errorID>
      <errorWord>复印件加盖</errorWord>
      <group>L1_Word</group>
      <groupName>字词问题</groupName>
      <ability>L2_Typo</ability>
      <abilityName>字词错误</abilityName>
      <candidateList>
        <item>复印件并加盖</item>
      </candidateList>
      <explain/>
      <paraID>331E3F59</paraID>
      <start>17</start>
      <end>22</end>
      <status>unmodified</status>
      <modifiedWord/>
      <trackRevisions>false</trackRevisions>
    </reviewItem>
    <reviewItem>
      <errorID>b3cd664e-6a3d-41aa-bb69-e1afd5fe635f</errorID>
      <errorWord>日</errorWord>
      <group>L1_Word</group>
      <groupName>字词问题</groupName>
      <ability>L2_Typo</ability>
      <abilityName>字词错误</abilityName>
      <candidateList>
        <item>日内</item>
      </candidateList>
      <explain/>
      <paraID>16CA6C40</paraID>
      <start>32</start>
      <end>33</end>
      <status>unmodified</status>
      <modifiedWord/>
      <trackRevisions>false</trackRevisions>
    </reviewItem>
    <reviewItem>
      <errorID>dbaf6283-1d75-4238-a06c-9e61493dfcab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5F01001C</paraID>
      <start>43</start>
      <end>44</end>
      <status>unmodified</status>
      <modifiedWord/>
      <trackRevisions>false</trackRevisions>
    </reviewItem>
    <reviewItem>
      <errorID>5dc7e222-76a5-4b85-beac-cb83f415dcad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5F01001C</paraID>
      <start>60</start>
      <end>61</end>
      <status>unmodified</status>
      <modifiedWord/>
      <trackRevisions>false</trackRevisions>
    </reviewItem>
    <reviewItem>
      <errorID>2b2720d6-776c-464a-8489-602cba2c3cab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3C91ECBB</paraID>
      <start>32</start>
      <end>33</end>
      <status>unmodified</status>
      <modifiedWord/>
      <trackRevisions>false</trackRevisions>
    </reviewItem>
    <reviewItem>
      <errorID>fb67cb6f-f7b5-463e-b9de-9b5e561b6383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68D14C0C</paraID>
      <start>42</start>
      <end>43</end>
      <status>unmodified</status>
      <modifiedWord/>
      <trackRevisions>false</trackRevisions>
    </reviewItem>
    <reviewItem>
      <errorID>7874b511-3aa1-44f8-a81f-ff4bf3e3bdfe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68D14C0C</paraID>
      <start>58</start>
      <end>59</end>
      <status>unmodified</status>
      <modifiedWord/>
      <trackRevisions>false</trackRevisions>
    </reviewItem>
    <reviewItem>
      <errorID>23d2a7e1-9ff1-4077-aa72-658cd75e6920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76EF90B2</paraID>
      <start>30</start>
      <end>31</end>
      <status>unmodified</status>
      <modifiedWord/>
      <trackRevisions>false</trackRevisions>
    </reviewItem>
    <reviewItem>
      <errorID>59b68d68-2c79-491f-8bd4-beb9dc87e892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76EF90B2</paraID>
      <start>43</start>
      <end>44</end>
      <status>unmodified</status>
      <modifiedWord/>
      <trackRevisions>false</trackRevisions>
    </reviewItem>
    <reviewItem>
      <errorID>14069eb6-ac1d-47e2-989f-0fe66bb04621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669A92B6</paraID>
      <start>31</start>
      <end>32</end>
      <status>unmodified</status>
      <modifiedWord/>
      <trackRevisions>false</trackRevisions>
    </reviewItem>
    <reviewItem>
      <errorID>9311dcdf-cdae-47a9-af2f-079760327fd4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6579DC67</paraID>
      <start>27</start>
      <end>30</end>
      <status>unmodified</status>
      <modifiedWord/>
      <trackRevisions>false</trackRevisions>
    </reviewItem>
    <reviewItem>
      <errorID>69760a80-22ad-4646-b597-fb56c8866ec4</errorID>
      <errorWord>)</errorWord>
      <group>L1_Format</group>
      <groupName>格式问题</groupName>
      <ability>L2_HalfPunc_CN</ability>
      <abilityName>全半角问题</abilityName>
      <candidateList>
        <item>）</item>
      </candidateList>
      <explain>文本全半角错误。</explain>
      <paraID>16242DD7</paraID>
      <start>39</start>
      <end>40</end>
      <status>unmodified</status>
      <modifiedWord/>
      <trackRevisions>false</trackRevisions>
    </reviewItem>
    <reviewItem>
      <errorID>14c1fd45-e4a9-49f3-9b20-00e4000671ff</errorID>
      <errorWord>30%-80%</errorWord>
      <group>L1_Knowledge</group>
      <groupName>知识性问题</groupName>
      <ability>L2_Knowledge</ability>
      <abilityName>其他知识</abilityName>
      <candidateList>
        <item>30%—80%</item>
      </candidateList>
      <explain>1. “30%-80%”中的单位“%”仅出现在后一个数字上，容易引起歧义；根据《现代汉语标点符号数字用法规范手册》，数字表示范围两边需要使用统一的格式。2. 根据标点国标 4.13 中的规则，数字、时间或地域连接符应使用（视觉上更长的）“—”或“～”。</explain>
      <paraID>7054869A</paraID>
      <start>30</start>
      <end>37</end>
      <status>unmodified</status>
      <modifiedWord/>
      <trackRevisions>false</trackRevisions>
    </reviewItem>
    <reviewItem>
      <errorID>f2446c00-5637-40a1-828a-0d70c6177079</errorID>
      <errorWord>配</errorWord>
      <group>L1_Word</group>
      <groupName>字词问题</groupName>
      <ability>L2_Typo</ability>
      <abilityName>字词错误</abilityName>
      <candidateList>
        <item>配备</item>
      </candidateList>
      <explain/>
      <paraID>76E7A963</paraID>
      <start>38</start>
      <end>39</end>
      <status>unmodified</status>
      <modifiedWord/>
      <trackRevisions>false</trackRevisions>
    </reviewItem>
    <reviewItem>
      <errorID>29512db3-5367-4ddc-a10f-7dbdb2e358f7</errorID>
      <errorWord>30%-80%</errorWord>
      <group>L1_Knowledge</group>
      <groupName>知识性问题</groupName>
      <ability>L2_Knowledge</ability>
      <abilityName>其他知识</abilityName>
      <candidateList>
        <item>30%—80%</item>
      </candidateList>
      <explain>1. “30%-80%”中的单位“%”仅出现在后一个数字上，容易引起歧义；根据《现代汉语标点符号数字用法规范手册》，数字表示范围两边需要使用统一的格式。2. 根据标点国标 4.13 中的规则，数字、时间或地域连接符应使用（视觉上更长的）“—”或“～”。</explain>
      <paraID>1B4A0895</paraID>
      <start>14</start>
      <end>21</end>
      <status>unmodified</status>
      <modifiedWord/>
      <trackRevisions>false</trackRevisions>
    </reviewItem>
    <reviewItem>
      <errorID>fcb6d998-5bd2-40c6-ae0a-d6ec71008108</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1B4A0895</paraID>
      <start>36</start>
      <end>42</end>
      <status>unmodified</status>
      <modifiedWord/>
      <trackRevisions>false</trackRevisions>
    </reviewItem>
    <reviewItem>
      <errorID>3d0a9625-2588-4534-8c95-959c5816396c</errorID>
      <errorWord>超</errorWord>
      <group>L1_Word</group>
      <groupName>字词问题</groupName>
      <ability>L2_Typo</ability>
      <abilityName>字词错误</abilityName>
      <candidateList>
        <item>超过</item>
      </candidateList>
      <explain/>
      <paraID> A17DFF6</paraID>
      <start>53</start>
      <end>54</end>
      <status>unmodified</status>
      <modifiedWord/>
      <trackRevisions>false</trackRevisions>
    </reviewItem>
    <reviewItem>
      <errorID>19ca23a0-9311-4f29-8779-209f09e6ae35</errorID>
      <errorWord>:</errorWord>
      <group>L1_Format</group>
      <groupName>格式问题</groupName>
      <ability>L2_HalfPunc_CN</ability>
      <abilityName>全半角问题</abilityName>
      <candidateList>
        <item>：</item>
      </candidateList>
      <explain>文本全半角错误。</explain>
      <paraID>5CFB745C</paraID>
      <start>5</start>
      <end>6</end>
      <status>unmodified</status>
      <modifiedWord/>
      <trackRevisions>false</trackRevisions>
    </reviewItem>
    <reviewItem>
      <errorID>a29cd133-dbc4-4620-883f-e60c283647aa</errorID>
      <errorWord>:</errorWord>
      <group>L1_Format</group>
      <groupName>格式问题</groupName>
      <ability>L2_HalfPunc_CN</ability>
      <abilityName>全半角问题</abilityName>
      <candidateList>
        <item>：</item>
      </candidateList>
      <explain>文本全半角错误。</explain>
      <paraID>25EAACB8</paraID>
      <start>5</start>
      <end>6</end>
      <status>unmodified</status>
      <modifiedWord/>
      <trackRevisions>false</trackRevisions>
    </reviewItem>
    <reviewItem>
      <errorID>57885d7d-4e96-4117-b4f3-2ee505eb4f10</errorID>
      <errorWord>:</errorWord>
      <group>L1_Format</group>
      <groupName>格式问题</groupName>
      <ability>L2_HalfPunc_CN</ability>
      <abilityName>全半角问题</abilityName>
      <candidateList>
        <item>：</item>
      </candidateList>
      <explain>文本全半角错误。</explain>
      <paraID>713DD5C9</paraID>
      <start>5</start>
      <end>6</end>
      <status>unmodified</status>
      <modifiedWord/>
      <trackRevisions>false</trackRevisions>
    </reviewItem>
    <reviewItem>
      <errorID>f35b1662-f91a-4a9f-b9f9-5912cf1eebec</errorID>
      <errorWord>:</errorWord>
      <group>L1_Format</group>
      <groupName>格式问题</groupName>
      <ability>L2_HalfPunc_CN</ability>
      <abilityName>全半角问题</abilityName>
      <candidateList>
        <item>：</item>
      </candidateList>
      <explain>文本全半角错误。</explain>
      <paraID> 5B6F62B</paraID>
      <start>5</start>
      <end>6</end>
      <status>unmodified</status>
      <modifiedWord/>
      <trackRevisions>false</trackRevisions>
    </reviewItem>
    <reviewItem>
      <errorID>92496b3b-4917-4b10-96f4-ab6235b30468</errorID>
      <errorWord>规</errorWord>
      <group>L1_Word</group>
      <groupName>字词问题</groupName>
      <ability>L2_Typo</ability>
      <abilityName>字词错误</abilityName>
      <candidateList>
        <item>规和</item>
      </candidateList>
      <explain/>
      <paraID>5ACBDDE2</paraID>
      <start>20</start>
      <end>21</end>
      <status>unmodified</status>
      <modifiedWord/>
      <trackRevisions>false</trackRevisions>
    </reviewItem>
    <reviewItem>
      <errorID>b4ac500f-8e76-4730-89fe-1cc4e4193890</errorID>
      <errorWord>(</errorWord>
      <group>L1_Format</group>
      <groupName>格式问题</groupName>
      <ability>L2_HalfPunc_CN</ability>
      <abilityName>全半角问题</abilityName>
      <candidateList>
        <item>（</item>
      </candidateList>
      <explain>文本全半角错误。</explain>
      <paraID>72B7F5F5</paraID>
      <start>45</start>
      <end>46</end>
      <status>unmodified</status>
      <modifiedWord/>
      <trackRevisions>false</trackRevisions>
    </reviewItem>
    <reviewItem>
      <errorID>658f3986-9321-45ae-826a-047fbf90f331</errorID>
      <errorWord>)</errorWord>
      <group>L1_Format</group>
      <groupName>格式问题</groupName>
      <ability>L2_HalfPunc_CN</ability>
      <abilityName>全半角问题</abilityName>
      <candidateList>
        <item>）</item>
      </candidateList>
      <explain>文本全半角错误。</explain>
      <paraID>72B7F5F5</paraID>
      <start>47</start>
      <end>48</end>
      <status>unmodified</status>
      <modifiedWord/>
      <trackRevisions>false</trackRevisions>
    </reviewItem>
    <reviewItem>
      <errorID>833b2bb4-d327-4367-b985-212f092afdc8</errorID>
      <errorWord>(</errorWord>
      <group>L1_Format</group>
      <groupName>格式问题</groupName>
      <ability>L2_HalfPunc_CN</ability>
      <abilityName>全半角问题</abilityName>
      <candidateList>
        <item>（</item>
      </candidateList>
      <explain>文本全半角错误。</explain>
      <paraID>7E5A67AD</paraID>
      <start>44</start>
      <end>45</end>
      <status>unmodified</status>
      <modifiedWord/>
      <trackRevisions>false</trackRevisions>
    </reviewItem>
    <reviewItem>
      <errorID>b8d9600e-5bc3-4add-8bfb-6f4f25fbcbc3</errorID>
      <errorWord>)</errorWord>
      <group>L1_Format</group>
      <groupName>格式问题</groupName>
      <ability>L2_HalfPunc_CN</ability>
      <abilityName>全半角问题</abilityName>
      <candidateList>
        <item>）</item>
      </candidateList>
      <explain>文本全半角错误。</explain>
      <paraID>7E5A67AD</paraID>
      <start>46</start>
      <end>47</end>
      <status>unmodified</status>
      <modifiedWord/>
      <trackRevisions>false</trackRevisions>
    </reviewItem>
    <reviewItem>
      <errorID>78de7452-ac26-4b93-971a-d356a01a40fa</errorID>
      <errorWord>复印件加盖</errorWord>
      <group>L1_Word</group>
      <groupName>字词问题</groupName>
      <ability>L2_Typo</ability>
      <abilityName>字词错误</abilityName>
      <candidateList>
        <item>复印件并加盖</item>
      </candidateList>
      <explain/>
      <paraID>289F8543</paraID>
      <start>44</start>
      <end>49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customXml/itemProps3.xml><?xml version="1.0" encoding="utf-8"?>
<ds:datastoreItem xmlns:ds="http://schemas.openxmlformats.org/officeDocument/2006/customXml" ds:itemID="{4358c521-50ea-4fc3-ab31-2ea9e4c1a992}">
  <ds:schemaRefs/>
</ds:datastoreItem>
</file>

<file path=docProps/app.xml><?xml version="1.0" encoding="utf-8"?>
<Properties xmlns="http://schemas.openxmlformats.org/officeDocument/2006/extended-properties" xmlns:vt="http://schemas.openxmlformats.org/officeDocument/2006/docPropsVTypes">
  <Template>Normal.dotm</Template>
  <Pages>37</Pages>
  <Words>5540</Words>
  <Characters>5978</Characters>
  <Lines>0</Lines>
  <Paragraphs>0</Paragraphs>
  <TotalTime>3</TotalTime>
  <ScaleCrop>false</ScaleCrop>
  <LinksUpToDate>false</LinksUpToDate>
  <CharactersWithSpaces>6113</CharactersWithSpaces>
  <Application>WPS Office_11.8.2.8808_F1E327BC-269C-435d-A152-05C5408002CA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admin</cp:lastModifiedBy>
  <cp:lastPrinted>2026-09-28T02:44:00Z</cp:lastPrinted>
  <dcterms:modified xsi:type="dcterms:W3CDTF">2026-09-28T10:35:54Z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y fmtid="{D5CDD505-2E9C-101B-9397-08002B2CF9AE}" pid="3" name="ICV">
    <vt:lpwstr>544CD43C2CD54183B013C3A99E24966A_13</vt:lpwstr>
  </property>
  <property fmtid="{D5CDD505-2E9C-101B-9397-08002B2CF9AE}" pid="4" name="KSOTemplateDocerSaveRecord">
    <vt:lpwstr>eyJoZGlkIjoiZWU5MThhYzMyODBiZjMwMzY4NzY4ZjQ2MjQxZmUwMjEiLCJ1c2VySWQiOiI1ODE4MjEzNjEifQ==</vt:lpwstr>
  </property>
</Properties>
</file>